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CD7" w:rsidRDefault="00A85CD7" w:rsidP="00A85CD7">
      <w:pPr>
        <w:spacing w:line="276" w:lineRule="auto"/>
        <w:jc w:val="center"/>
        <w:rPr>
          <w:b/>
          <w:bCs/>
          <w:sz w:val="28"/>
          <w:szCs w:val="28"/>
          <w:u w:val="single"/>
        </w:rPr>
      </w:pPr>
      <w:r>
        <w:rPr>
          <w:b/>
          <w:bCs/>
          <w:sz w:val="28"/>
          <w:szCs w:val="28"/>
          <w:u w:val="single"/>
        </w:rPr>
        <w:t xml:space="preserve">Investment Opportunities in the Jordanian Industrial Sector </w:t>
      </w:r>
    </w:p>
    <w:p w:rsidR="00A85CD7" w:rsidRDefault="00A85CD7" w:rsidP="00A85CD7">
      <w:pPr>
        <w:spacing w:line="276" w:lineRule="auto"/>
        <w:jc w:val="lowKashida"/>
        <w:rPr>
          <w:sz w:val="24"/>
          <w:szCs w:val="24"/>
        </w:rPr>
      </w:pPr>
    </w:p>
    <w:p w:rsidR="00A85CD7" w:rsidRDefault="00A85CD7" w:rsidP="00A85CD7">
      <w:pPr>
        <w:spacing w:line="276" w:lineRule="auto"/>
        <w:jc w:val="lowKashida"/>
        <w:rPr>
          <w:sz w:val="24"/>
          <w:szCs w:val="24"/>
        </w:rPr>
      </w:pPr>
      <w:r>
        <w:rPr>
          <w:sz w:val="24"/>
          <w:szCs w:val="24"/>
        </w:rPr>
        <w:t>In the frame of work Jordan Chamber of Industry to attract a new investment that have a potential in European markets. In which Investment pillar is a central pillar in the relaxed rules of origin agreement with the European Union</w:t>
      </w:r>
    </w:p>
    <w:p w:rsidR="00A85CD7" w:rsidRDefault="00A85CD7" w:rsidP="00A85CD7">
      <w:pPr>
        <w:spacing w:line="276" w:lineRule="auto"/>
        <w:jc w:val="lowKashida"/>
        <w:rPr>
          <w:sz w:val="24"/>
          <w:szCs w:val="24"/>
        </w:rPr>
      </w:pPr>
      <w:r>
        <w:rPr>
          <w:sz w:val="24"/>
          <w:szCs w:val="24"/>
        </w:rPr>
        <w:t>So it was necessary to study investment opportunities in Jordan and identify priorities of national investment projects including crate and sustainable job opportunities, and has export opportunities in European markets.</w:t>
      </w:r>
    </w:p>
    <w:p w:rsidR="00A85CD7" w:rsidRDefault="00A85CD7" w:rsidP="00A85CD7">
      <w:pPr>
        <w:spacing w:line="276" w:lineRule="auto"/>
        <w:jc w:val="lowKashida"/>
        <w:rPr>
          <w:sz w:val="24"/>
          <w:szCs w:val="24"/>
        </w:rPr>
      </w:pPr>
      <w:r>
        <w:rPr>
          <w:sz w:val="24"/>
          <w:szCs w:val="24"/>
        </w:rPr>
        <w:t>Based on JCI analysis and studies, top 6 investment projects were Jordan possesses high attractiveness as an investment destination due to natural and comparative advantages specifically in view of future export potential to the European Union, high added value and has the capacity to generate sustainable job opportunities, are:</w:t>
      </w:r>
    </w:p>
    <w:p w:rsidR="00A85CD7" w:rsidRDefault="00A85CD7" w:rsidP="00A85CD7">
      <w:pPr>
        <w:spacing w:line="276" w:lineRule="auto"/>
        <w:jc w:val="lowKashida"/>
        <w:rPr>
          <w:sz w:val="24"/>
          <w:szCs w:val="24"/>
        </w:rPr>
      </w:pPr>
    </w:p>
    <w:p w:rsidR="00A85CD7" w:rsidRPr="00E40874" w:rsidRDefault="00A85CD7" w:rsidP="00E40874">
      <w:pPr>
        <w:rPr>
          <w:b/>
          <w:bCs/>
          <w:sz w:val="28"/>
          <w:szCs w:val="28"/>
        </w:rPr>
      </w:pPr>
      <w:bookmarkStart w:id="0" w:name="_GoBack"/>
      <w:bookmarkEnd w:id="0"/>
      <w:r w:rsidRPr="00E40874">
        <w:rPr>
          <w:b/>
          <w:bCs/>
          <w:sz w:val="28"/>
          <w:szCs w:val="28"/>
        </w:rPr>
        <w:t xml:space="preserve">Sport shoes; tennis, basketball, athlete, exercise or similar shoes: </w:t>
      </w:r>
    </w:p>
    <w:tbl>
      <w:tblPr>
        <w:tblStyle w:val="LightShading-Accent11"/>
        <w:tblW w:w="8894" w:type="dxa"/>
        <w:tblInd w:w="0" w:type="dxa"/>
        <w:tblLook w:val="04A0" w:firstRow="1" w:lastRow="0" w:firstColumn="1" w:lastColumn="0" w:noHBand="0" w:noVBand="1"/>
      </w:tblPr>
      <w:tblGrid>
        <w:gridCol w:w="2523"/>
        <w:gridCol w:w="2270"/>
        <w:gridCol w:w="4101"/>
      </w:tblGrid>
      <w:tr w:rsidR="00A85CD7" w:rsidTr="00A85CD7">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8894" w:type="dxa"/>
            <w:gridSpan w:val="3"/>
            <w:hideMark/>
          </w:tcPr>
          <w:p w:rsidR="00A85CD7" w:rsidRDefault="00A85CD7">
            <w:pPr>
              <w:spacing w:line="276" w:lineRule="auto"/>
              <w:rPr>
                <w:rFonts w:asciiTheme="minorHAnsi" w:hAnsiTheme="minorHAnsi" w:cs="Times New Roman"/>
                <w:b w:val="0"/>
                <w:bCs w:val="0"/>
                <w:color w:val="595959" w:themeColor="text1" w:themeTint="A6"/>
                <w:sz w:val="24"/>
                <w:szCs w:val="24"/>
              </w:rPr>
            </w:pPr>
            <w:r>
              <w:rPr>
                <w:rFonts w:asciiTheme="minorHAnsi" w:hAnsiTheme="minorHAnsi" w:cs="Times New Roman"/>
                <w:b w:val="0"/>
                <w:bCs w:val="0"/>
                <w:color w:val="595959" w:themeColor="text1" w:themeTint="A6"/>
                <w:sz w:val="24"/>
                <w:szCs w:val="24"/>
              </w:rPr>
              <w:t>Sector: Textile and Garment</w:t>
            </w:r>
          </w:p>
        </w:tc>
      </w:tr>
      <w:tr w:rsidR="00A85CD7" w:rsidTr="00A85CD7">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4793" w:type="dxa"/>
            <w:gridSpan w:val="2"/>
            <w:tcBorders>
              <w:top w:val="nil"/>
              <w:bottom w:val="nil"/>
            </w:tcBorders>
            <w:hideMark/>
          </w:tcPr>
          <w:p w:rsidR="00A85CD7" w:rsidRDefault="00A85CD7">
            <w:pPr>
              <w:spacing w:after="0" w:line="276" w:lineRule="auto"/>
              <w:rPr>
                <w:rFonts w:asciiTheme="minorHAnsi" w:hAnsiTheme="minorHAnsi" w:cs="Times New Roman"/>
                <w:b w:val="0"/>
                <w:bCs w:val="0"/>
                <w:color w:val="595959" w:themeColor="text1" w:themeTint="A6"/>
                <w:sz w:val="24"/>
                <w:szCs w:val="24"/>
              </w:rPr>
            </w:pPr>
            <w:r>
              <w:rPr>
                <w:rFonts w:asciiTheme="minorHAnsi" w:hAnsiTheme="minorHAnsi" w:cs="Times New Roman"/>
                <w:b w:val="0"/>
                <w:bCs w:val="0"/>
                <w:color w:val="595959" w:themeColor="text1" w:themeTint="A6"/>
                <w:sz w:val="24"/>
                <w:szCs w:val="24"/>
              </w:rPr>
              <w:t>Product: Sport shoes; tennis, basketball, athlete, exercise or similar shoes</w:t>
            </w:r>
          </w:p>
        </w:tc>
        <w:tc>
          <w:tcPr>
            <w:tcW w:w="4101" w:type="dxa"/>
            <w:tcBorders>
              <w:top w:val="nil"/>
              <w:bottom w:val="nil"/>
            </w:tcBorders>
            <w:hideMark/>
          </w:tcPr>
          <w:p w:rsidR="00A85CD7" w:rsidRDefault="00A85CD7">
            <w:pPr>
              <w:spacing w:after="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595959" w:themeColor="text1" w:themeTint="A6"/>
                <w:sz w:val="24"/>
                <w:szCs w:val="24"/>
              </w:rPr>
            </w:pPr>
            <w:r>
              <w:rPr>
                <w:rFonts w:asciiTheme="minorHAnsi" w:hAnsiTheme="minorHAnsi" w:cs="Times New Roman"/>
                <w:color w:val="595959" w:themeColor="text1" w:themeTint="A6"/>
                <w:sz w:val="24"/>
                <w:szCs w:val="24"/>
              </w:rPr>
              <w:t>HS Code: 640411</w:t>
            </w:r>
          </w:p>
        </w:tc>
      </w:tr>
      <w:tr w:rsidR="00A85CD7" w:rsidTr="00A85CD7">
        <w:trPr>
          <w:trHeight w:val="425"/>
        </w:trPr>
        <w:tc>
          <w:tcPr>
            <w:cnfStyle w:val="001000000000" w:firstRow="0" w:lastRow="0" w:firstColumn="1" w:lastColumn="0" w:oddVBand="0" w:evenVBand="0" w:oddHBand="0" w:evenHBand="0" w:firstRowFirstColumn="0" w:firstRowLastColumn="0" w:lastRowFirstColumn="0" w:lastRowLastColumn="0"/>
            <w:tcW w:w="4793" w:type="dxa"/>
            <w:gridSpan w:val="2"/>
            <w:vMerge w:val="restart"/>
            <w:tcBorders>
              <w:top w:val="nil"/>
              <w:left w:val="nil"/>
              <w:bottom w:val="nil"/>
              <w:right w:val="nil"/>
            </w:tcBorders>
            <w:hideMark/>
          </w:tcPr>
          <w:p w:rsidR="00A85CD7" w:rsidRDefault="00A85CD7">
            <w:pPr>
              <w:spacing w:after="0" w:line="276" w:lineRule="auto"/>
              <w:rPr>
                <w:rFonts w:asciiTheme="minorHAnsi" w:hAnsiTheme="minorHAnsi" w:cs="Times New Roman"/>
                <w:b w:val="0"/>
                <w:bCs w:val="0"/>
                <w:color w:val="595959" w:themeColor="text1" w:themeTint="A6"/>
                <w:sz w:val="24"/>
                <w:szCs w:val="24"/>
              </w:rPr>
            </w:pPr>
            <w:r>
              <w:rPr>
                <w:rFonts w:asciiTheme="minorHAnsi" w:hAnsiTheme="minorHAnsi" w:cs="Times New Roman"/>
                <w:b w:val="0"/>
                <w:bCs w:val="0"/>
                <w:color w:val="595959" w:themeColor="text1" w:themeTint="A6"/>
                <w:sz w:val="24"/>
                <w:szCs w:val="24"/>
              </w:rPr>
              <w:t xml:space="preserve">EU tariff </w:t>
            </w:r>
          </w:p>
        </w:tc>
        <w:tc>
          <w:tcPr>
            <w:tcW w:w="4101" w:type="dxa"/>
            <w:tcBorders>
              <w:top w:val="nil"/>
              <w:left w:val="nil"/>
              <w:bottom w:val="nil"/>
              <w:right w:val="nil"/>
            </w:tcBorders>
            <w:hideMark/>
          </w:tcPr>
          <w:p w:rsidR="00A85CD7" w:rsidRDefault="00A85CD7">
            <w:pPr>
              <w:spacing w:after="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595959" w:themeColor="text1" w:themeTint="A6"/>
                <w:sz w:val="24"/>
                <w:szCs w:val="24"/>
              </w:rPr>
            </w:pPr>
            <w:r>
              <w:rPr>
                <w:rFonts w:asciiTheme="minorHAnsi" w:hAnsiTheme="minorHAnsi" w:cs="Times New Roman"/>
                <w:color w:val="595959" w:themeColor="text1" w:themeTint="A6"/>
                <w:sz w:val="24"/>
                <w:szCs w:val="24"/>
              </w:rPr>
              <w:t xml:space="preserve">MFN: 16.9%  </w:t>
            </w:r>
          </w:p>
        </w:tc>
      </w:tr>
      <w:tr w:rsidR="00A85CD7" w:rsidTr="00A85CD7">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0" w:type="auto"/>
            <w:gridSpan w:val="2"/>
            <w:vMerge/>
            <w:tcBorders>
              <w:top w:val="nil"/>
              <w:bottom w:val="nil"/>
            </w:tcBorders>
            <w:vAlign w:val="center"/>
            <w:hideMark/>
          </w:tcPr>
          <w:p w:rsidR="00A85CD7" w:rsidRDefault="00A85CD7">
            <w:pPr>
              <w:spacing w:after="0"/>
              <w:rPr>
                <w:rFonts w:asciiTheme="minorHAnsi" w:hAnsiTheme="minorHAnsi" w:cs="Times New Roman"/>
                <w:color w:val="595959" w:themeColor="text1" w:themeTint="A6"/>
                <w:sz w:val="24"/>
                <w:szCs w:val="24"/>
              </w:rPr>
            </w:pPr>
          </w:p>
        </w:tc>
        <w:tc>
          <w:tcPr>
            <w:tcW w:w="4101" w:type="dxa"/>
            <w:tcBorders>
              <w:top w:val="nil"/>
              <w:bottom w:val="nil"/>
            </w:tcBorders>
            <w:hideMark/>
          </w:tcPr>
          <w:p w:rsidR="00A85CD7" w:rsidRDefault="00A85CD7">
            <w:pPr>
              <w:pStyle w:val="NormalWeb"/>
              <w:suppressAutoHyphens w:val="0"/>
              <w:spacing w:after="0" w:line="276"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olor w:val="595959" w:themeColor="text1" w:themeTint="A6"/>
              </w:rPr>
            </w:pPr>
            <w:r>
              <w:rPr>
                <w:rFonts w:asciiTheme="minorHAnsi" w:eastAsia="Calibri" w:hAnsiTheme="minorHAnsi"/>
                <w:color w:val="595959" w:themeColor="text1" w:themeTint="A6"/>
              </w:rPr>
              <w:t>Preferential: 0%</w:t>
            </w:r>
          </w:p>
        </w:tc>
      </w:tr>
      <w:tr w:rsidR="00A85CD7" w:rsidTr="00A85CD7">
        <w:trPr>
          <w:trHeight w:val="425"/>
        </w:trPr>
        <w:tc>
          <w:tcPr>
            <w:cnfStyle w:val="001000000000" w:firstRow="0" w:lastRow="0" w:firstColumn="1" w:lastColumn="0" w:oddVBand="0" w:evenVBand="0" w:oddHBand="0" w:evenHBand="0" w:firstRowFirstColumn="0" w:firstRowLastColumn="0" w:lastRowFirstColumn="0" w:lastRowLastColumn="0"/>
            <w:tcW w:w="8894" w:type="dxa"/>
            <w:gridSpan w:val="3"/>
            <w:tcBorders>
              <w:top w:val="nil"/>
              <w:left w:val="nil"/>
              <w:bottom w:val="nil"/>
              <w:right w:val="nil"/>
            </w:tcBorders>
            <w:hideMark/>
          </w:tcPr>
          <w:p w:rsidR="00A85CD7" w:rsidRDefault="00A85CD7">
            <w:pPr>
              <w:spacing w:after="0" w:line="276" w:lineRule="auto"/>
              <w:rPr>
                <w:rFonts w:asciiTheme="minorHAnsi" w:hAnsiTheme="minorHAnsi" w:cs="Times New Roman"/>
                <w:b w:val="0"/>
                <w:bCs w:val="0"/>
                <w:color w:val="595959" w:themeColor="text1" w:themeTint="A6"/>
                <w:sz w:val="24"/>
                <w:szCs w:val="24"/>
              </w:rPr>
            </w:pPr>
            <w:r>
              <w:rPr>
                <w:rFonts w:asciiTheme="minorHAnsi" w:hAnsiTheme="minorHAnsi" w:cs="Times New Roman"/>
                <w:b w:val="0"/>
                <w:bCs w:val="0"/>
                <w:color w:val="595959" w:themeColor="text1" w:themeTint="A6"/>
                <w:sz w:val="24"/>
                <w:szCs w:val="24"/>
              </w:rPr>
              <w:t>Description of the manufacturing processes &amp; input of production: leather, rubber, polyester and plastic</w:t>
            </w:r>
          </w:p>
        </w:tc>
      </w:tr>
      <w:tr w:rsidR="00A85CD7" w:rsidTr="00A85CD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8894" w:type="dxa"/>
            <w:gridSpan w:val="3"/>
            <w:tcBorders>
              <w:top w:val="nil"/>
              <w:bottom w:val="nil"/>
            </w:tcBorders>
            <w:hideMark/>
          </w:tcPr>
          <w:p w:rsidR="00A85CD7" w:rsidRDefault="00A85CD7">
            <w:pPr>
              <w:spacing w:after="0" w:line="276" w:lineRule="auto"/>
              <w:rPr>
                <w:rFonts w:asciiTheme="minorHAnsi" w:hAnsiTheme="minorHAnsi" w:cs="Times New Roman"/>
                <w:b w:val="0"/>
                <w:bCs w:val="0"/>
                <w:color w:val="595959" w:themeColor="text1" w:themeTint="A6"/>
                <w:sz w:val="24"/>
                <w:szCs w:val="24"/>
              </w:rPr>
            </w:pPr>
            <w:r>
              <w:rPr>
                <w:rFonts w:asciiTheme="minorHAnsi" w:hAnsiTheme="minorHAnsi" w:cs="Times New Roman"/>
                <w:b w:val="0"/>
                <w:bCs w:val="0"/>
                <w:color w:val="595959" w:themeColor="text1" w:themeTint="A6"/>
                <w:sz w:val="24"/>
                <w:szCs w:val="24"/>
              </w:rPr>
              <w:t>Top 5 EU country that import item:  Germany, Belgium, France, United Kingdom, Italy</w:t>
            </w:r>
          </w:p>
        </w:tc>
      </w:tr>
      <w:tr w:rsidR="00A85CD7" w:rsidTr="00A85CD7">
        <w:trPr>
          <w:trHeight w:val="425"/>
        </w:trPr>
        <w:tc>
          <w:tcPr>
            <w:cnfStyle w:val="001000000000" w:firstRow="0" w:lastRow="0" w:firstColumn="1" w:lastColumn="0" w:oddVBand="0" w:evenVBand="0" w:oddHBand="0" w:evenHBand="0" w:firstRowFirstColumn="0" w:firstRowLastColumn="0" w:lastRowFirstColumn="0" w:lastRowLastColumn="0"/>
            <w:tcW w:w="8894" w:type="dxa"/>
            <w:gridSpan w:val="3"/>
            <w:tcBorders>
              <w:top w:val="nil"/>
              <w:left w:val="nil"/>
              <w:bottom w:val="nil"/>
              <w:right w:val="nil"/>
            </w:tcBorders>
            <w:hideMark/>
          </w:tcPr>
          <w:p w:rsidR="00A85CD7" w:rsidRDefault="00A85CD7">
            <w:pPr>
              <w:spacing w:after="0" w:line="276" w:lineRule="auto"/>
              <w:rPr>
                <w:rFonts w:asciiTheme="minorHAnsi" w:hAnsiTheme="minorHAnsi" w:cs="Times New Roman"/>
                <w:b w:val="0"/>
                <w:bCs w:val="0"/>
                <w:color w:val="595959" w:themeColor="text1" w:themeTint="A6"/>
                <w:sz w:val="24"/>
                <w:szCs w:val="24"/>
              </w:rPr>
            </w:pPr>
            <w:r>
              <w:rPr>
                <w:rFonts w:asciiTheme="minorHAnsi" w:hAnsiTheme="minorHAnsi" w:cs="Times New Roman"/>
                <w:b w:val="0"/>
                <w:bCs w:val="0"/>
                <w:color w:val="595959" w:themeColor="text1" w:themeTint="A6"/>
                <w:sz w:val="24"/>
                <w:szCs w:val="24"/>
              </w:rPr>
              <w:t>Top 5 Sources of EU imports of item (i.e. countries exporting item to the EU): Viet Nam, China, Indonesia, Cambodia, Bangladesh</w:t>
            </w:r>
          </w:p>
        </w:tc>
      </w:tr>
      <w:tr w:rsidR="00A85CD7" w:rsidTr="00A85CD7">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523" w:type="dxa"/>
            <w:vMerge w:val="restart"/>
            <w:tcBorders>
              <w:top w:val="nil"/>
              <w:bottom w:val="single" w:sz="8" w:space="0" w:color="4F81BD"/>
            </w:tcBorders>
            <w:hideMark/>
          </w:tcPr>
          <w:p w:rsidR="00A85CD7" w:rsidRDefault="00A85CD7">
            <w:pPr>
              <w:spacing w:after="0" w:line="276" w:lineRule="auto"/>
              <w:rPr>
                <w:rFonts w:asciiTheme="minorHAnsi" w:hAnsiTheme="minorHAnsi" w:cs="Times New Roman"/>
                <w:b w:val="0"/>
                <w:bCs w:val="0"/>
                <w:color w:val="595959" w:themeColor="text1" w:themeTint="A6"/>
                <w:sz w:val="24"/>
                <w:szCs w:val="24"/>
              </w:rPr>
            </w:pPr>
            <w:r>
              <w:rPr>
                <w:rFonts w:asciiTheme="minorHAnsi" w:hAnsiTheme="minorHAnsi" w:cs="Times New Roman"/>
                <w:b w:val="0"/>
                <w:bCs w:val="0"/>
                <w:color w:val="595959" w:themeColor="text1" w:themeTint="A6"/>
                <w:sz w:val="24"/>
                <w:szCs w:val="24"/>
              </w:rPr>
              <w:t xml:space="preserve">Country </w:t>
            </w:r>
          </w:p>
        </w:tc>
        <w:tc>
          <w:tcPr>
            <w:tcW w:w="2270" w:type="dxa"/>
            <w:vMerge w:val="restart"/>
            <w:tcBorders>
              <w:top w:val="nil"/>
              <w:bottom w:val="single" w:sz="8" w:space="0" w:color="4F81BD"/>
            </w:tcBorders>
            <w:hideMark/>
          </w:tcPr>
          <w:p w:rsidR="00A85CD7" w:rsidRDefault="00A85CD7">
            <w:pPr>
              <w:spacing w:after="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595959" w:themeColor="text1" w:themeTint="A6"/>
                <w:sz w:val="24"/>
                <w:szCs w:val="24"/>
              </w:rPr>
            </w:pPr>
            <w:r>
              <w:rPr>
                <w:rFonts w:asciiTheme="minorHAnsi" w:hAnsiTheme="minorHAnsi" w:cs="Times New Roman"/>
                <w:color w:val="595959" w:themeColor="text1" w:themeTint="A6"/>
                <w:sz w:val="24"/>
                <w:szCs w:val="24"/>
              </w:rPr>
              <w:t>Tariff (i.e. is there an FTA with the EU)</w:t>
            </w:r>
          </w:p>
        </w:tc>
        <w:tc>
          <w:tcPr>
            <w:tcW w:w="4101" w:type="dxa"/>
            <w:tcBorders>
              <w:top w:val="nil"/>
              <w:bottom w:val="nil"/>
            </w:tcBorders>
            <w:hideMark/>
          </w:tcPr>
          <w:p w:rsidR="00A85CD7" w:rsidRDefault="00A85CD7">
            <w:pPr>
              <w:spacing w:after="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595959" w:themeColor="text1" w:themeTint="A6"/>
                <w:sz w:val="24"/>
                <w:szCs w:val="24"/>
              </w:rPr>
            </w:pPr>
            <w:r>
              <w:rPr>
                <w:rFonts w:asciiTheme="minorHAnsi" w:hAnsiTheme="minorHAnsi" w:cs="Times New Roman"/>
                <w:color w:val="595959" w:themeColor="text1" w:themeTint="A6"/>
                <w:sz w:val="24"/>
                <w:szCs w:val="24"/>
              </w:rPr>
              <w:t>Viet Nam 11.9% (EU for GSP Countries)</w:t>
            </w:r>
          </w:p>
        </w:tc>
      </w:tr>
      <w:tr w:rsidR="00A85CD7" w:rsidTr="00A85CD7">
        <w:trPr>
          <w:trHeight w:val="474"/>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single" w:sz="8" w:space="0" w:color="4F81BD"/>
              <w:right w:val="nil"/>
            </w:tcBorders>
            <w:vAlign w:val="center"/>
            <w:hideMark/>
          </w:tcPr>
          <w:p w:rsidR="00A85CD7" w:rsidRDefault="00A85CD7">
            <w:pPr>
              <w:spacing w:after="0"/>
              <w:rPr>
                <w:rFonts w:asciiTheme="minorHAnsi" w:hAnsiTheme="minorHAnsi" w:cs="Times New Roman"/>
                <w:color w:val="595959" w:themeColor="text1" w:themeTint="A6"/>
                <w:sz w:val="24"/>
                <w:szCs w:val="24"/>
              </w:rPr>
            </w:pPr>
          </w:p>
        </w:tc>
        <w:tc>
          <w:tcPr>
            <w:tcW w:w="0" w:type="auto"/>
            <w:vMerge/>
            <w:tcBorders>
              <w:top w:val="nil"/>
              <w:left w:val="nil"/>
              <w:bottom w:val="single" w:sz="8" w:space="0" w:color="4F81BD"/>
              <w:right w:val="nil"/>
            </w:tcBorders>
            <w:vAlign w:val="center"/>
            <w:hideMark/>
          </w:tcPr>
          <w:p w:rsidR="00A85CD7" w:rsidRDefault="00A85CD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595959" w:themeColor="text1" w:themeTint="A6"/>
                <w:sz w:val="24"/>
                <w:szCs w:val="24"/>
              </w:rPr>
            </w:pPr>
          </w:p>
        </w:tc>
        <w:tc>
          <w:tcPr>
            <w:tcW w:w="4101" w:type="dxa"/>
            <w:tcBorders>
              <w:top w:val="nil"/>
              <w:left w:val="nil"/>
              <w:bottom w:val="nil"/>
              <w:right w:val="nil"/>
            </w:tcBorders>
            <w:hideMark/>
          </w:tcPr>
          <w:p w:rsidR="00A85CD7" w:rsidRDefault="00A85CD7">
            <w:pPr>
              <w:spacing w:after="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595959" w:themeColor="text1" w:themeTint="A6"/>
                <w:sz w:val="24"/>
                <w:szCs w:val="24"/>
              </w:rPr>
            </w:pPr>
            <w:r>
              <w:rPr>
                <w:rFonts w:asciiTheme="minorHAnsi" w:hAnsiTheme="minorHAnsi" w:cs="Times New Roman"/>
                <w:color w:val="595959" w:themeColor="text1" w:themeTint="A6"/>
                <w:sz w:val="24"/>
                <w:szCs w:val="24"/>
              </w:rPr>
              <w:t>China 16.9% (none)</w:t>
            </w:r>
          </w:p>
        </w:tc>
      </w:tr>
      <w:tr w:rsidR="00A85CD7" w:rsidTr="00A85CD7">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single" w:sz="8" w:space="0" w:color="4F81BD"/>
            </w:tcBorders>
            <w:vAlign w:val="center"/>
            <w:hideMark/>
          </w:tcPr>
          <w:p w:rsidR="00A85CD7" w:rsidRDefault="00A85CD7">
            <w:pPr>
              <w:spacing w:after="0"/>
              <w:rPr>
                <w:rFonts w:asciiTheme="minorHAnsi" w:hAnsiTheme="minorHAnsi" w:cs="Times New Roman"/>
                <w:color w:val="595959" w:themeColor="text1" w:themeTint="A6"/>
                <w:sz w:val="24"/>
                <w:szCs w:val="24"/>
              </w:rPr>
            </w:pPr>
          </w:p>
        </w:tc>
        <w:tc>
          <w:tcPr>
            <w:tcW w:w="0" w:type="auto"/>
            <w:vMerge/>
            <w:tcBorders>
              <w:top w:val="nil"/>
              <w:bottom w:val="single" w:sz="8" w:space="0" w:color="4F81BD"/>
            </w:tcBorders>
            <w:vAlign w:val="center"/>
            <w:hideMark/>
          </w:tcPr>
          <w:p w:rsidR="00A85CD7" w:rsidRDefault="00A85CD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595959" w:themeColor="text1" w:themeTint="A6"/>
                <w:sz w:val="24"/>
                <w:szCs w:val="24"/>
              </w:rPr>
            </w:pPr>
          </w:p>
        </w:tc>
        <w:tc>
          <w:tcPr>
            <w:tcW w:w="4101" w:type="dxa"/>
            <w:tcBorders>
              <w:top w:val="nil"/>
              <w:bottom w:val="nil"/>
            </w:tcBorders>
            <w:hideMark/>
          </w:tcPr>
          <w:p w:rsidR="00A85CD7" w:rsidRDefault="00A85CD7">
            <w:pPr>
              <w:spacing w:after="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595959" w:themeColor="text1" w:themeTint="A6"/>
                <w:sz w:val="24"/>
                <w:szCs w:val="24"/>
              </w:rPr>
            </w:pPr>
            <w:r>
              <w:rPr>
                <w:rFonts w:asciiTheme="minorHAnsi" w:hAnsiTheme="minorHAnsi" w:cs="Times New Roman"/>
                <w:color w:val="595959" w:themeColor="text1" w:themeTint="A6"/>
                <w:sz w:val="24"/>
                <w:szCs w:val="24"/>
              </w:rPr>
              <w:t>Indonesia 11.9% (EU for GSP Countries)</w:t>
            </w:r>
          </w:p>
        </w:tc>
      </w:tr>
      <w:tr w:rsidR="00A85CD7" w:rsidTr="00A85CD7">
        <w:trPr>
          <w:trHeight w:val="474"/>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single" w:sz="8" w:space="0" w:color="4F81BD"/>
              <w:right w:val="nil"/>
            </w:tcBorders>
            <w:vAlign w:val="center"/>
            <w:hideMark/>
          </w:tcPr>
          <w:p w:rsidR="00A85CD7" w:rsidRDefault="00A85CD7">
            <w:pPr>
              <w:spacing w:after="0"/>
              <w:rPr>
                <w:rFonts w:asciiTheme="minorHAnsi" w:hAnsiTheme="minorHAnsi" w:cs="Times New Roman"/>
                <w:color w:val="595959" w:themeColor="text1" w:themeTint="A6"/>
                <w:sz w:val="24"/>
                <w:szCs w:val="24"/>
              </w:rPr>
            </w:pPr>
          </w:p>
        </w:tc>
        <w:tc>
          <w:tcPr>
            <w:tcW w:w="0" w:type="auto"/>
            <w:vMerge/>
            <w:tcBorders>
              <w:top w:val="nil"/>
              <w:left w:val="nil"/>
              <w:bottom w:val="single" w:sz="8" w:space="0" w:color="4F81BD"/>
              <w:right w:val="nil"/>
            </w:tcBorders>
            <w:vAlign w:val="center"/>
            <w:hideMark/>
          </w:tcPr>
          <w:p w:rsidR="00A85CD7" w:rsidRDefault="00A85CD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595959" w:themeColor="text1" w:themeTint="A6"/>
                <w:sz w:val="24"/>
                <w:szCs w:val="24"/>
              </w:rPr>
            </w:pPr>
          </w:p>
        </w:tc>
        <w:tc>
          <w:tcPr>
            <w:tcW w:w="4101" w:type="dxa"/>
            <w:tcBorders>
              <w:top w:val="nil"/>
              <w:left w:val="nil"/>
              <w:bottom w:val="nil"/>
              <w:right w:val="nil"/>
            </w:tcBorders>
            <w:hideMark/>
          </w:tcPr>
          <w:p w:rsidR="00A85CD7" w:rsidRDefault="00A85CD7">
            <w:pPr>
              <w:spacing w:after="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595959" w:themeColor="text1" w:themeTint="A6"/>
                <w:sz w:val="24"/>
                <w:szCs w:val="24"/>
              </w:rPr>
            </w:pPr>
            <w:r>
              <w:rPr>
                <w:rFonts w:asciiTheme="minorHAnsi" w:hAnsiTheme="minorHAnsi" w:cs="Times New Roman"/>
                <w:color w:val="595959" w:themeColor="text1" w:themeTint="A6"/>
                <w:sz w:val="24"/>
                <w:szCs w:val="24"/>
              </w:rPr>
              <w:t>Cambodia 0% (EU for LDC Countries)</w:t>
            </w:r>
          </w:p>
        </w:tc>
      </w:tr>
      <w:tr w:rsidR="00A85CD7" w:rsidTr="00A85CD7">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single" w:sz="8" w:space="0" w:color="4F81BD"/>
            </w:tcBorders>
            <w:vAlign w:val="center"/>
            <w:hideMark/>
          </w:tcPr>
          <w:p w:rsidR="00A85CD7" w:rsidRDefault="00A85CD7">
            <w:pPr>
              <w:spacing w:after="0"/>
              <w:rPr>
                <w:rFonts w:asciiTheme="minorHAnsi" w:hAnsiTheme="minorHAnsi" w:cs="Times New Roman"/>
                <w:color w:val="595959" w:themeColor="text1" w:themeTint="A6"/>
                <w:sz w:val="24"/>
                <w:szCs w:val="24"/>
              </w:rPr>
            </w:pPr>
          </w:p>
        </w:tc>
        <w:tc>
          <w:tcPr>
            <w:tcW w:w="0" w:type="auto"/>
            <w:vMerge/>
            <w:tcBorders>
              <w:top w:val="nil"/>
              <w:bottom w:val="single" w:sz="8" w:space="0" w:color="4F81BD"/>
            </w:tcBorders>
            <w:vAlign w:val="center"/>
            <w:hideMark/>
          </w:tcPr>
          <w:p w:rsidR="00A85CD7" w:rsidRDefault="00A85CD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595959" w:themeColor="text1" w:themeTint="A6"/>
                <w:sz w:val="24"/>
                <w:szCs w:val="24"/>
              </w:rPr>
            </w:pPr>
          </w:p>
        </w:tc>
        <w:tc>
          <w:tcPr>
            <w:tcW w:w="4101" w:type="dxa"/>
            <w:tcBorders>
              <w:top w:val="nil"/>
              <w:bottom w:val="single" w:sz="8" w:space="0" w:color="4F81BD"/>
            </w:tcBorders>
            <w:hideMark/>
          </w:tcPr>
          <w:p w:rsidR="00A85CD7" w:rsidRDefault="00A85CD7">
            <w:pPr>
              <w:spacing w:after="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595959" w:themeColor="text1" w:themeTint="A6"/>
                <w:sz w:val="24"/>
                <w:szCs w:val="24"/>
              </w:rPr>
            </w:pPr>
            <w:r>
              <w:rPr>
                <w:rFonts w:asciiTheme="minorHAnsi" w:hAnsiTheme="minorHAnsi" w:cs="Times New Roman"/>
                <w:color w:val="595959" w:themeColor="text1" w:themeTint="A6"/>
                <w:sz w:val="24"/>
                <w:szCs w:val="24"/>
              </w:rPr>
              <w:t>Bangladesh 0% (EU for LDC Countries)</w:t>
            </w:r>
          </w:p>
        </w:tc>
      </w:tr>
    </w:tbl>
    <w:p w:rsidR="00BF0803" w:rsidRDefault="00E40874"/>
    <w:sectPr w:rsidR="00BF08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GothicE">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FE65AD"/>
    <w:multiLevelType w:val="hybridMultilevel"/>
    <w:tmpl w:val="29B432E0"/>
    <w:lvl w:ilvl="0" w:tplc="63588B62">
      <w:start w:val="1"/>
      <w:numFmt w:val="decimal"/>
      <w:lvlText w:val="%1."/>
      <w:lvlJc w:val="left"/>
      <w:pPr>
        <w:ind w:left="1440" w:hanging="360"/>
      </w:pPr>
      <w:rPr>
        <w:rFonts w:ascii="Franklin Gothic Book" w:eastAsia="Franklin Gothic Book" w:hAnsi="Franklin Gothic Book" w:cs="Tahoma"/>
      </w:rPr>
    </w:lvl>
    <w:lvl w:ilvl="1" w:tplc="04090019">
      <w:start w:val="1"/>
      <w:numFmt w:val="lowerLetter"/>
      <w:lvlText w:val="%2."/>
      <w:lvlJc w:val="left"/>
      <w:pPr>
        <w:ind w:left="2160" w:hanging="360"/>
      </w:pPr>
    </w:lvl>
    <w:lvl w:ilvl="2" w:tplc="231AED72">
      <w:start w:val="1"/>
      <w:numFmt w:val="decimal"/>
      <w:lvlText w:val="(%3)"/>
      <w:lvlJc w:val="left"/>
      <w:pPr>
        <w:ind w:left="360" w:hanging="36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005"/>
    <w:rsid w:val="002B4005"/>
    <w:rsid w:val="007915A4"/>
    <w:rsid w:val="00881E72"/>
    <w:rsid w:val="00A85CD7"/>
    <w:rsid w:val="00E408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9F028"/>
  <w15:chartTrackingRefBased/>
  <w15:docId w15:val="{EF7DCD64-6942-441D-B2A3-65D231B34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CD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5CD7"/>
    <w:pPr>
      <w:suppressAutoHyphens/>
      <w:autoSpaceDN w:val="0"/>
      <w:spacing w:before="100" w:after="100" w:line="240" w:lineRule="auto"/>
      <w:ind w:left="720" w:right="720"/>
    </w:pPr>
    <w:rPr>
      <w:rFonts w:ascii="Times New Roman" w:eastAsia="HGGothicE" w:hAnsi="Times New Roman" w:cs="Times New Roman"/>
      <w:sz w:val="24"/>
      <w:szCs w:val="24"/>
      <w:lang w:eastAsia="ja-JP"/>
    </w:rPr>
  </w:style>
  <w:style w:type="character" w:customStyle="1" w:styleId="ListParagraphChar">
    <w:name w:val="List Paragraph Char"/>
    <w:aliases w:val="Bullets Char"/>
    <w:link w:val="ListParagraph"/>
    <w:uiPriority w:val="34"/>
    <w:locked/>
    <w:rsid w:val="00A85CD7"/>
    <w:rPr>
      <w:rFonts w:ascii="Franklin Gothic Book" w:eastAsia="Franklin Gothic Book" w:hAnsi="Franklin Gothic Book" w:cs="Tahoma"/>
      <w:color w:val="595959"/>
      <w:kern w:val="3"/>
      <w:sz w:val="24"/>
      <w:szCs w:val="20"/>
      <w:lang w:eastAsia="ja-JP"/>
    </w:rPr>
  </w:style>
  <w:style w:type="paragraph" w:styleId="ListParagraph">
    <w:name w:val="List Paragraph"/>
    <w:aliases w:val="Bullets"/>
    <w:basedOn w:val="Normal"/>
    <w:link w:val="ListParagraphChar"/>
    <w:uiPriority w:val="34"/>
    <w:qFormat/>
    <w:rsid w:val="00A85CD7"/>
    <w:pPr>
      <w:suppressAutoHyphens/>
      <w:autoSpaceDN w:val="0"/>
      <w:spacing w:before="40" w:after="360" w:line="240" w:lineRule="auto"/>
      <w:ind w:left="720" w:right="720"/>
      <w:contextualSpacing/>
    </w:pPr>
    <w:rPr>
      <w:rFonts w:ascii="Franklin Gothic Book" w:eastAsia="Franklin Gothic Book" w:hAnsi="Franklin Gothic Book" w:cs="Tahoma"/>
      <w:color w:val="595959"/>
      <w:kern w:val="3"/>
      <w:sz w:val="24"/>
      <w:szCs w:val="20"/>
      <w:lang w:eastAsia="ja-JP"/>
    </w:rPr>
  </w:style>
  <w:style w:type="table" w:customStyle="1" w:styleId="LightShading-Accent11">
    <w:name w:val="Light Shading - Accent 11"/>
    <w:basedOn w:val="TableNormal"/>
    <w:uiPriority w:val="60"/>
    <w:rsid w:val="00A85CD7"/>
    <w:pPr>
      <w:spacing w:line="256" w:lineRule="auto"/>
    </w:pPr>
    <w:rPr>
      <w:rFonts w:ascii="Calibri" w:eastAsia="Calibri" w:hAnsi="Calibri" w:cs="Arial"/>
      <w:color w:val="365F91"/>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4828">
      <w:bodyDiv w:val="1"/>
      <w:marLeft w:val="0"/>
      <w:marRight w:val="0"/>
      <w:marTop w:val="0"/>
      <w:marBottom w:val="0"/>
      <w:divBdr>
        <w:top w:val="none" w:sz="0" w:space="0" w:color="auto"/>
        <w:left w:val="none" w:sz="0" w:space="0" w:color="auto"/>
        <w:bottom w:val="none" w:sz="0" w:space="0" w:color="auto"/>
        <w:right w:val="none" w:sz="0" w:space="0" w:color="auto"/>
      </w:divBdr>
    </w:div>
    <w:div w:id="214218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7CFF5-F847-40F3-8AA2-A9E875D12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1392</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MHD</dc:creator>
  <cp:keywords/>
  <dc:description/>
  <cp:lastModifiedBy>MHD</cp:lastModifiedBy>
  <cp:revision>3</cp:revision>
  <dcterms:created xsi:type="dcterms:W3CDTF">2021-08-03T07:01:00Z</dcterms:created>
  <dcterms:modified xsi:type="dcterms:W3CDTF">2021-08-03T07:15:00Z</dcterms:modified>
</cp:coreProperties>
</file>