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09" w:rsidRDefault="00394409" w:rsidP="00394409">
      <w:pPr>
        <w:spacing w:line="276" w:lineRule="auto"/>
        <w:jc w:val="lowKashida"/>
        <w:rPr>
          <w:sz w:val="24"/>
          <w:szCs w:val="24"/>
        </w:rPr>
      </w:pPr>
    </w:p>
    <w:p w:rsidR="00394409" w:rsidRDefault="00394409" w:rsidP="00394409">
      <w:pPr>
        <w:spacing w:line="276" w:lineRule="auto"/>
        <w:jc w:val="center"/>
        <w:rPr>
          <w:b/>
          <w:bCs/>
          <w:sz w:val="28"/>
          <w:szCs w:val="28"/>
          <w:u w:val="single"/>
        </w:rPr>
      </w:pPr>
      <w:r>
        <w:rPr>
          <w:b/>
          <w:bCs/>
          <w:sz w:val="28"/>
          <w:szCs w:val="28"/>
          <w:u w:val="single"/>
        </w:rPr>
        <w:t xml:space="preserve">Investment Opportunities in the Jordanian Industrial Sector </w:t>
      </w:r>
    </w:p>
    <w:p w:rsidR="00394409" w:rsidRDefault="00394409" w:rsidP="00394409">
      <w:pPr>
        <w:spacing w:line="276" w:lineRule="auto"/>
        <w:jc w:val="lowKashida"/>
        <w:rPr>
          <w:sz w:val="24"/>
          <w:szCs w:val="24"/>
        </w:rPr>
      </w:pPr>
    </w:p>
    <w:p w:rsidR="00394409" w:rsidRDefault="00394409" w:rsidP="00394409">
      <w:pPr>
        <w:spacing w:line="276" w:lineRule="auto"/>
        <w:jc w:val="lowKashida"/>
        <w:rPr>
          <w:sz w:val="24"/>
          <w:szCs w:val="24"/>
        </w:rPr>
      </w:pPr>
      <w:r>
        <w:rPr>
          <w:sz w:val="24"/>
          <w:szCs w:val="24"/>
        </w:rPr>
        <w:t>In the frame of work Jordan Chamber of Industry to attract a new investment that have a potential in European markets. In which Investment pillar is a central pillar in the relaxed rules of origin agreement with the European Union</w:t>
      </w:r>
    </w:p>
    <w:p w:rsidR="00394409" w:rsidRDefault="00394409" w:rsidP="00394409">
      <w:pPr>
        <w:spacing w:line="276" w:lineRule="auto"/>
        <w:jc w:val="lowKashida"/>
        <w:rPr>
          <w:sz w:val="24"/>
          <w:szCs w:val="24"/>
        </w:rPr>
      </w:pPr>
      <w:r>
        <w:rPr>
          <w:sz w:val="24"/>
          <w:szCs w:val="24"/>
        </w:rPr>
        <w:t>So it was necessary to study investment opportunities in Jordan and identify priorities of national investment projects including crate and sustainable job opportunities, and has export opportunities in European markets.</w:t>
      </w:r>
    </w:p>
    <w:p w:rsidR="00394409" w:rsidRDefault="00394409" w:rsidP="00394409">
      <w:pPr>
        <w:spacing w:line="276" w:lineRule="auto"/>
        <w:jc w:val="lowKashida"/>
        <w:rPr>
          <w:sz w:val="24"/>
          <w:szCs w:val="24"/>
        </w:rPr>
      </w:pPr>
      <w:r>
        <w:rPr>
          <w:sz w:val="24"/>
          <w:szCs w:val="24"/>
        </w:rPr>
        <w:t>Based on JCI analysis and studies, top 6 investment projects were Jordan possesses high attractiveness as an investment destination due to natural and comparative advantages specifically in view of future export potential to the European Union, high added value and has the capacity to generate sustainable job opportunities, are:</w:t>
      </w:r>
    </w:p>
    <w:p w:rsidR="00394409" w:rsidRPr="009970DA" w:rsidRDefault="00394409" w:rsidP="009970DA">
      <w:pPr>
        <w:ind w:left="180"/>
        <w:rPr>
          <w:b/>
          <w:bCs/>
          <w:sz w:val="28"/>
          <w:szCs w:val="28"/>
        </w:rPr>
      </w:pPr>
      <w:r w:rsidRPr="009970DA">
        <w:rPr>
          <w:b/>
          <w:bCs/>
          <w:sz w:val="28"/>
          <w:szCs w:val="28"/>
        </w:rPr>
        <w:t>Woven fabrics of combed wool or of fine combed hair:</w:t>
      </w:r>
    </w:p>
    <w:tbl>
      <w:tblPr>
        <w:tblStyle w:val="LightShading-Accent11"/>
        <w:tblW w:w="8894" w:type="dxa"/>
        <w:jc w:val="center"/>
        <w:tblInd w:w="0" w:type="dxa"/>
        <w:tblLook w:val="04A0" w:firstRow="1" w:lastRow="0" w:firstColumn="1" w:lastColumn="0" w:noHBand="0" w:noVBand="1"/>
      </w:tblPr>
      <w:tblGrid>
        <w:gridCol w:w="2369"/>
        <w:gridCol w:w="2145"/>
        <w:gridCol w:w="4380"/>
      </w:tblGrid>
      <w:tr w:rsidR="00394409" w:rsidTr="00394409">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hideMark/>
          </w:tcPr>
          <w:p w:rsidR="00394409" w:rsidRDefault="00394409">
            <w:pPr>
              <w:spacing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Sector: Textile and Garment industry</w:t>
            </w:r>
          </w:p>
        </w:tc>
      </w:tr>
      <w:tr w:rsidR="00394409" w:rsidTr="00394409">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514" w:type="dxa"/>
            <w:gridSpan w:val="2"/>
            <w:tcBorders>
              <w:top w:val="nil"/>
              <w:bottom w:val="nil"/>
            </w:tcBorders>
            <w:hideMark/>
          </w:tcPr>
          <w:p w:rsidR="00394409" w:rsidRDefault="00394409">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Product: Woven fabrics of combed wool or of fine combed hair</w:t>
            </w:r>
          </w:p>
        </w:tc>
        <w:tc>
          <w:tcPr>
            <w:tcW w:w="4380" w:type="dxa"/>
            <w:tcBorders>
              <w:top w:val="nil"/>
              <w:bottom w:val="nil"/>
            </w:tcBorders>
            <w:hideMark/>
          </w:tcPr>
          <w:p w:rsidR="00394409" w:rsidRDefault="00394409">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HS Code: 511211</w:t>
            </w:r>
          </w:p>
        </w:tc>
      </w:tr>
      <w:tr w:rsidR="00394409" w:rsidTr="00394409">
        <w:trPr>
          <w:trHeight w:val="425"/>
          <w:jc w:val="center"/>
        </w:trPr>
        <w:tc>
          <w:tcPr>
            <w:cnfStyle w:val="001000000000" w:firstRow="0" w:lastRow="0" w:firstColumn="1" w:lastColumn="0" w:oddVBand="0" w:evenVBand="0" w:oddHBand="0" w:evenHBand="0" w:firstRowFirstColumn="0" w:firstRowLastColumn="0" w:lastRowFirstColumn="0" w:lastRowLastColumn="0"/>
            <w:tcW w:w="4514" w:type="dxa"/>
            <w:gridSpan w:val="2"/>
            <w:vMerge w:val="restart"/>
            <w:tcBorders>
              <w:top w:val="nil"/>
              <w:left w:val="nil"/>
              <w:bottom w:val="nil"/>
              <w:right w:val="nil"/>
            </w:tcBorders>
            <w:hideMark/>
          </w:tcPr>
          <w:p w:rsidR="00394409" w:rsidRDefault="00394409">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EU tariff </w:t>
            </w:r>
          </w:p>
        </w:tc>
        <w:tc>
          <w:tcPr>
            <w:tcW w:w="4380" w:type="dxa"/>
            <w:tcBorders>
              <w:top w:val="nil"/>
              <w:left w:val="nil"/>
              <w:bottom w:val="nil"/>
              <w:right w:val="nil"/>
            </w:tcBorders>
            <w:hideMark/>
          </w:tcPr>
          <w:p w:rsidR="00394409" w:rsidRDefault="00394409">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MFN: 8%</w:t>
            </w:r>
          </w:p>
        </w:tc>
      </w:tr>
      <w:tr w:rsidR="00394409" w:rsidTr="00394409">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bottom w:val="nil"/>
            </w:tcBorders>
            <w:vAlign w:val="center"/>
            <w:hideMark/>
          </w:tcPr>
          <w:p w:rsidR="00394409" w:rsidRDefault="00394409">
            <w:pPr>
              <w:spacing w:after="0"/>
              <w:rPr>
                <w:rFonts w:asciiTheme="minorHAnsi" w:hAnsiTheme="minorHAnsi" w:cs="Times New Roman"/>
                <w:color w:val="595959" w:themeColor="text1" w:themeTint="A6"/>
                <w:sz w:val="24"/>
                <w:szCs w:val="24"/>
              </w:rPr>
            </w:pPr>
          </w:p>
        </w:tc>
        <w:tc>
          <w:tcPr>
            <w:tcW w:w="4380" w:type="dxa"/>
            <w:tcBorders>
              <w:top w:val="nil"/>
              <w:bottom w:val="nil"/>
            </w:tcBorders>
            <w:hideMark/>
          </w:tcPr>
          <w:p w:rsidR="00394409" w:rsidRDefault="00394409">
            <w:pPr>
              <w:pStyle w:val="NormalWeb"/>
              <w:suppressAutoHyphens w:val="0"/>
              <w:spacing w:after="0"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595959" w:themeColor="text1" w:themeTint="A6"/>
              </w:rPr>
            </w:pPr>
            <w:r>
              <w:rPr>
                <w:rFonts w:asciiTheme="minorHAnsi" w:eastAsia="Calibri" w:hAnsiTheme="minorHAnsi"/>
                <w:color w:val="595959" w:themeColor="text1" w:themeTint="A6"/>
              </w:rPr>
              <w:t>Preferential: 0%</w:t>
            </w:r>
          </w:p>
        </w:tc>
      </w:tr>
      <w:tr w:rsidR="00394409" w:rsidTr="00394409">
        <w:trPr>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394409" w:rsidRDefault="00394409">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Description of the manufacturing processes &amp; input of production: Wool and hair of animals</w:t>
            </w:r>
          </w:p>
        </w:tc>
      </w:tr>
      <w:tr w:rsidR="00394409" w:rsidTr="00394409">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bottom w:val="nil"/>
            </w:tcBorders>
            <w:hideMark/>
          </w:tcPr>
          <w:p w:rsidR="00394409" w:rsidRDefault="00394409">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EU country that import item: Germany, Italy, Romania, Bulgaria, Portugal</w:t>
            </w:r>
          </w:p>
        </w:tc>
      </w:tr>
      <w:tr w:rsidR="00394409" w:rsidTr="00394409">
        <w:trPr>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394409" w:rsidRDefault="00394409">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Sources of EU imports of item  (i.e. countries exporting item to the EU): Turkey, China, Chile, India, Japan</w:t>
            </w:r>
          </w:p>
        </w:tc>
      </w:tr>
      <w:tr w:rsidR="00394409" w:rsidTr="0039440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69" w:type="dxa"/>
            <w:vMerge w:val="restart"/>
            <w:tcBorders>
              <w:top w:val="nil"/>
              <w:bottom w:val="single" w:sz="8" w:space="0" w:color="4F81BD"/>
            </w:tcBorders>
            <w:hideMark/>
          </w:tcPr>
          <w:p w:rsidR="00394409" w:rsidRDefault="00394409">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lastRenderedPageBreak/>
              <w:t xml:space="preserve">Country </w:t>
            </w:r>
          </w:p>
        </w:tc>
        <w:tc>
          <w:tcPr>
            <w:tcW w:w="2145" w:type="dxa"/>
            <w:vMerge w:val="restart"/>
            <w:tcBorders>
              <w:top w:val="nil"/>
              <w:bottom w:val="single" w:sz="8" w:space="0" w:color="4F81BD"/>
            </w:tcBorders>
            <w:hideMark/>
          </w:tcPr>
          <w:p w:rsidR="00394409" w:rsidRDefault="00394409">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Tariff ( i.e. is there an FTA with the EU</w:t>
            </w:r>
          </w:p>
        </w:tc>
        <w:tc>
          <w:tcPr>
            <w:tcW w:w="4380" w:type="dxa"/>
            <w:tcBorders>
              <w:top w:val="nil"/>
              <w:bottom w:val="nil"/>
            </w:tcBorders>
            <w:hideMark/>
          </w:tcPr>
          <w:p w:rsidR="00394409" w:rsidRDefault="00394409">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Turkey 0% (CU, EU-Turkey)</w:t>
            </w:r>
          </w:p>
        </w:tc>
      </w:tr>
      <w:tr w:rsidR="00394409" w:rsidTr="00394409">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4F81BD"/>
              <w:right w:val="nil"/>
            </w:tcBorders>
            <w:vAlign w:val="center"/>
            <w:hideMark/>
          </w:tcPr>
          <w:p w:rsidR="00394409" w:rsidRDefault="00394409">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394409" w:rsidRDefault="0039440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left w:val="nil"/>
              <w:bottom w:val="nil"/>
              <w:right w:val="nil"/>
            </w:tcBorders>
            <w:hideMark/>
          </w:tcPr>
          <w:p w:rsidR="00394409" w:rsidRDefault="00394409">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China 8% (none)</w:t>
            </w:r>
          </w:p>
        </w:tc>
      </w:tr>
      <w:tr w:rsidR="00394409" w:rsidTr="0039440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4F81BD"/>
            </w:tcBorders>
            <w:vAlign w:val="center"/>
            <w:hideMark/>
          </w:tcPr>
          <w:p w:rsidR="00394409" w:rsidRDefault="00394409">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394409" w:rsidRDefault="00394409">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bottom w:val="nil"/>
            </w:tcBorders>
            <w:hideMark/>
          </w:tcPr>
          <w:p w:rsidR="00394409" w:rsidRDefault="00394409">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Chile 0% (FTA, EU-Chile)</w:t>
            </w:r>
          </w:p>
        </w:tc>
      </w:tr>
      <w:tr w:rsidR="00394409" w:rsidTr="00394409">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4F81BD"/>
              <w:right w:val="nil"/>
            </w:tcBorders>
            <w:vAlign w:val="center"/>
            <w:hideMark/>
          </w:tcPr>
          <w:p w:rsidR="00394409" w:rsidRDefault="00394409">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394409" w:rsidRDefault="0039440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left w:val="nil"/>
              <w:bottom w:val="nil"/>
              <w:right w:val="nil"/>
            </w:tcBorders>
            <w:hideMark/>
          </w:tcPr>
          <w:p w:rsidR="00394409" w:rsidRDefault="00394409">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India 8% (none)</w:t>
            </w:r>
          </w:p>
        </w:tc>
      </w:tr>
      <w:tr w:rsidR="00394409" w:rsidTr="0039440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4F81BD"/>
            </w:tcBorders>
            <w:vAlign w:val="center"/>
            <w:hideMark/>
          </w:tcPr>
          <w:p w:rsidR="00394409" w:rsidRDefault="00394409">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394409" w:rsidRDefault="00394409">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380" w:type="dxa"/>
            <w:tcBorders>
              <w:top w:val="nil"/>
              <w:bottom w:val="single" w:sz="8" w:space="0" w:color="4F81BD"/>
            </w:tcBorders>
            <w:hideMark/>
          </w:tcPr>
          <w:p w:rsidR="00394409" w:rsidRDefault="00394409">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Japan 8% (none)</w:t>
            </w:r>
          </w:p>
        </w:tc>
      </w:tr>
    </w:tbl>
    <w:p w:rsidR="00394409" w:rsidRDefault="00650212" w:rsidP="00394409">
      <w:pPr>
        <w:jc w:val="both"/>
        <w:rPr>
          <w:b/>
          <w:bCs/>
          <w:sz w:val="24"/>
          <w:szCs w:val="24"/>
        </w:rPr>
      </w:pPr>
      <w:r>
        <w:rPr>
          <w:b/>
          <w:bCs/>
          <w:sz w:val="24"/>
          <w:szCs w:val="24"/>
        </w:rPr>
        <w:t xml:space="preserve">                               </w:t>
      </w:r>
    </w:p>
    <w:tbl>
      <w:tblPr>
        <w:tblStyle w:val="LightShading-Accent11"/>
        <w:tblW w:w="0" w:type="dxa"/>
        <w:tblInd w:w="0" w:type="dxa"/>
        <w:tblLayout w:type="fixed"/>
        <w:tblLook w:val="04A0" w:firstRow="1" w:lastRow="0" w:firstColumn="1" w:lastColumn="0" w:noHBand="0" w:noVBand="1"/>
      </w:tblPr>
      <w:tblGrid>
        <w:gridCol w:w="8820"/>
      </w:tblGrid>
      <w:tr w:rsidR="00650212" w:rsidTr="00650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0" w:type="dxa"/>
          </w:tcPr>
          <w:p w:rsidR="00650212" w:rsidRDefault="00650212">
            <w:pPr>
              <w:spacing w:line="240" w:lineRule="auto"/>
              <w:jc w:val="both"/>
              <w:rPr>
                <w:rFonts w:asciiTheme="minorHAnsi" w:eastAsia="HGGothicE" w:hAnsiTheme="minorHAnsi" w:cs="Times New Roman"/>
                <w:color w:val="595959" w:themeColor="text1" w:themeTint="A6"/>
                <w:sz w:val="28"/>
                <w:szCs w:val="28"/>
              </w:rPr>
            </w:pPr>
            <w:r>
              <w:rPr>
                <w:rFonts w:asciiTheme="minorHAnsi" w:eastAsia="HGGothicE" w:hAnsiTheme="minorHAnsi" w:cs="Times New Roman"/>
                <w:color w:val="595959" w:themeColor="text1" w:themeTint="A6"/>
                <w:sz w:val="28"/>
                <w:szCs w:val="28"/>
              </w:rPr>
              <w:t xml:space="preserve">Jordan Value Proposition in the Textile and Garment Sector: </w:t>
            </w:r>
          </w:p>
          <w:p w:rsidR="00650212" w:rsidRDefault="00650212">
            <w:pPr>
              <w:spacing w:line="240" w:lineRule="auto"/>
              <w:ind w:right="72"/>
              <w:jc w:val="both"/>
              <w:rPr>
                <w:rFonts w:asciiTheme="minorHAnsi" w:eastAsia="HGGothicE" w:hAnsiTheme="minorHAnsi" w:cs="Times New Roman"/>
                <w:color w:val="595959" w:themeColor="text1" w:themeTint="A6"/>
                <w:sz w:val="24"/>
                <w:szCs w:val="24"/>
              </w:rPr>
            </w:pPr>
            <w:r>
              <w:rPr>
                <w:rFonts w:asciiTheme="minorHAnsi" w:eastAsia="HGGothicE" w:hAnsiTheme="minorHAnsi" w:cs="Times New Roman"/>
                <w:b w:val="0"/>
                <w:bCs w:val="0"/>
                <w:color w:val="595959" w:themeColor="text1" w:themeTint="A6"/>
                <w:sz w:val="24"/>
                <w:szCs w:val="24"/>
              </w:rPr>
              <w:t xml:space="preserve">Generally, countries continue to place modest to high tariff on export of “apparel” items, this in addition to the high consumption and fast pace of this sector, tariff savings do influence investment flows in this sector, where Jordan continues to offer investment incentives and facilitation. </w:t>
            </w:r>
          </w:p>
          <w:p w:rsidR="00650212" w:rsidRDefault="00650212">
            <w:pPr>
              <w:spacing w:line="240" w:lineRule="auto"/>
              <w:ind w:right="72"/>
              <w:jc w:val="both"/>
              <w:rPr>
                <w:rFonts w:asciiTheme="minorHAnsi" w:eastAsia="HGGothicE" w:hAnsiTheme="minorHAnsi" w:cs="Times New Roman"/>
                <w:color w:val="595959" w:themeColor="text1" w:themeTint="A6"/>
                <w:sz w:val="24"/>
                <w:szCs w:val="24"/>
              </w:rPr>
            </w:pPr>
            <w:r>
              <w:rPr>
                <w:rFonts w:asciiTheme="minorHAnsi" w:eastAsia="HGGothicE" w:hAnsiTheme="minorHAnsi" w:cs="Times New Roman"/>
                <w:b w:val="0"/>
                <w:bCs w:val="0"/>
                <w:color w:val="595959" w:themeColor="text1" w:themeTint="A6"/>
                <w:sz w:val="24"/>
                <w:szCs w:val="24"/>
              </w:rPr>
              <w:t>Jordan has a strong apparel manufacturing sector with over 20 years of experience and over 200 factories 85 large factories having 500–2,500 employees, which make up for approximately 95% of Jordan’s current garment exports,</w:t>
            </w:r>
            <w:r>
              <w:rPr>
                <w:rStyle w:val="FootnoteReference"/>
                <w:rFonts w:asciiTheme="minorHAnsi" w:hAnsiTheme="minorHAnsi"/>
                <w:b w:val="0"/>
                <w:bCs w:val="0"/>
                <w:sz w:val="24"/>
                <w:szCs w:val="24"/>
              </w:rPr>
              <w:footnoteReference w:id="1"/>
            </w:r>
            <w:r>
              <w:rPr>
                <w:sz w:val="24"/>
                <w:szCs w:val="24"/>
              </w:rPr>
              <w:t xml:space="preserve"> </w:t>
            </w:r>
            <w:r>
              <w:rPr>
                <w:rFonts w:eastAsia="HGGothicE" w:cs="Times New Roman"/>
                <w:color w:val="595959" w:themeColor="text1" w:themeTint="A6"/>
                <w:sz w:val="24"/>
                <w:szCs w:val="24"/>
              </w:rPr>
              <w:t xml:space="preserve">much of which goes to the US.  As such, Jordan has strong local experience </w:t>
            </w:r>
            <w:proofErr w:type="gramStart"/>
            <w:r>
              <w:rPr>
                <w:rFonts w:eastAsia="HGGothicE" w:cs="Times New Roman"/>
                <w:color w:val="595959" w:themeColor="text1" w:themeTint="A6"/>
                <w:sz w:val="24"/>
                <w:szCs w:val="24"/>
              </w:rPr>
              <w:t>and  is</w:t>
            </w:r>
            <w:proofErr w:type="gramEnd"/>
            <w:r>
              <w:rPr>
                <w:rFonts w:eastAsia="HGGothicE" w:cs="Times New Roman"/>
                <w:color w:val="595959" w:themeColor="text1" w:themeTint="A6"/>
                <w:sz w:val="24"/>
                <w:szCs w:val="24"/>
              </w:rPr>
              <w:t xml:space="preserve"> well positioned within the manufacturing value chain, and adding these items to Jordan’s basket of manufactured products will enhance the sector’s production base. </w:t>
            </w:r>
          </w:p>
          <w:p w:rsidR="00650212" w:rsidRDefault="00650212">
            <w:pPr>
              <w:spacing w:line="240" w:lineRule="auto"/>
              <w:ind w:right="72"/>
              <w:jc w:val="both"/>
              <w:rPr>
                <w:rFonts w:asciiTheme="minorHAnsi" w:eastAsia="HGGothicE" w:hAnsiTheme="minorHAnsi" w:cs="Times New Roman"/>
                <w:color w:val="595959" w:themeColor="text1" w:themeTint="A6"/>
                <w:sz w:val="24"/>
                <w:szCs w:val="24"/>
              </w:rPr>
            </w:pPr>
            <w:r>
              <w:rPr>
                <w:rFonts w:asciiTheme="minorHAnsi" w:eastAsia="HGGothicE" w:hAnsiTheme="minorHAnsi" w:cs="Times New Roman"/>
                <w:b w:val="0"/>
                <w:bCs w:val="0"/>
                <w:color w:val="595959" w:themeColor="text1" w:themeTint="A6"/>
                <w:sz w:val="24"/>
                <w:szCs w:val="24"/>
              </w:rPr>
              <w:t xml:space="preserve">The sector is </w:t>
            </w:r>
            <w:proofErr w:type="spellStart"/>
            <w:r>
              <w:rPr>
                <w:rFonts w:asciiTheme="minorHAnsi" w:eastAsia="HGGothicE" w:hAnsiTheme="minorHAnsi" w:cs="Times New Roman"/>
                <w:b w:val="0"/>
                <w:bCs w:val="0"/>
                <w:color w:val="595959" w:themeColor="text1" w:themeTint="A6"/>
                <w:sz w:val="24"/>
                <w:szCs w:val="24"/>
              </w:rPr>
              <w:t>labour</w:t>
            </w:r>
            <w:proofErr w:type="spellEnd"/>
            <w:r>
              <w:rPr>
                <w:rFonts w:asciiTheme="minorHAnsi" w:eastAsia="HGGothicE" w:hAnsiTheme="minorHAnsi" w:cs="Times New Roman"/>
                <w:b w:val="0"/>
                <w:bCs w:val="0"/>
                <w:color w:val="595959" w:themeColor="text1" w:themeTint="A6"/>
                <w:sz w:val="24"/>
                <w:szCs w:val="24"/>
              </w:rPr>
              <w:t xml:space="preserve"> intensive and requires a level of skill, attention to detail and energy, and can absorb a high number of female workers, Jordan has a young population (70 percent of which is below 30 years of age) who with the right training and skills development would be ideal workers. Moreover, except for Turkey Jordan is geographically closer to the EU markets which can translate in savings in the shipping costs with the raise of demand.</w:t>
            </w:r>
          </w:p>
          <w:tbl>
            <w:tblPr>
              <w:tblW w:w="0" w:type="dxa"/>
              <w:shd w:val="clear" w:color="auto" w:fill="FFFFFF"/>
              <w:tblLayout w:type="fixed"/>
              <w:tblCellMar>
                <w:left w:w="0" w:type="dxa"/>
                <w:right w:w="0" w:type="dxa"/>
              </w:tblCellMar>
              <w:tblLook w:val="04A0" w:firstRow="1" w:lastRow="0" w:firstColumn="1" w:lastColumn="0" w:noHBand="0" w:noVBand="1"/>
            </w:tblPr>
            <w:tblGrid>
              <w:gridCol w:w="180"/>
              <w:gridCol w:w="1067"/>
              <w:gridCol w:w="1058"/>
              <w:gridCol w:w="1478"/>
              <w:gridCol w:w="3431"/>
              <w:gridCol w:w="1417"/>
              <w:gridCol w:w="1090"/>
            </w:tblGrid>
            <w:tr w:rsidR="00650212">
              <w:trPr>
                <w:gridBefore w:val="1"/>
                <w:wBefore w:w="180" w:type="dxa"/>
                <w:trHeight w:val="319"/>
              </w:trPr>
              <w:tc>
                <w:tcPr>
                  <w:tcW w:w="9541" w:type="dxa"/>
                  <w:gridSpan w:val="6"/>
                  <w:shd w:val="clear" w:color="auto" w:fill="FFFFFF"/>
                  <w:hideMark/>
                </w:tcPr>
                <w:p w:rsidR="00650212" w:rsidRDefault="00650212">
                  <w:pPr>
                    <w:spacing w:after="0" w:line="276" w:lineRule="auto"/>
                    <w:contextualSpacing/>
                    <w:rPr>
                      <w:rFonts w:eastAsia="Times New Roman" w:cs="Times New Roman"/>
                      <w:color w:val="595959"/>
                      <w:sz w:val="24"/>
                      <w:szCs w:val="24"/>
                      <w:highlight w:val="yellow"/>
                    </w:rPr>
                  </w:pPr>
                  <w:r>
                    <w:rPr>
                      <w:rFonts w:eastAsia="Times New Roman" w:cs="Times New Roman"/>
                      <w:b/>
                      <w:color w:val="595959" w:themeColor="text1" w:themeTint="A6"/>
                      <w:sz w:val="24"/>
                      <w:szCs w:val="24"/>
                    </w:rPr>
                    <w:t xml:space="preserve">                                   Table 10: Estimated Time &amp; Cost of Shipment</w:t>
                  </w:r>
                </w:p>
              </w:tc>
            </w:tr>
            <w:tr w:rsidR="00650212">
              <w:trPr>
                <w:gridAfter w:val="1"/>
                <w:wAfter w:w="1090" w:type="dxa"/>
                <w:trHeight w:val="495"/>
              </w:trPr>
              <w:tc>
                <w:tcPr>
                  <w:tcW w:w="1247" w:type="dxa"/>
                  <w:gridSpan w:val="2"/>
                  <w:shd w:val="clear" w:color="auto" w:fill="FBE4D5"/>
                  <w:tcMar>
                    <w:top w:w="0" w:type="dxa"/>
                    <w:left w:w="108" w:type="dxa"/>
                    <w:bottom w:w="0" w:type="dxa"/>
                    <w:right w:w="108" w:type="dxa"/>
                  </w:tcMar>
                  <w:hideMark/>
                </w:tcPr>
                <w:p w:rsidR="00650212" w:rsidRDefault="00650212">
                  <w:pPr>
                    <w:spacing w:after="0"/>
                    <w:ind w:left="-215"/>
                    <w:rPr>
                      <w:rFonts w:eastAsia="Calibri" w:cs="Arial"/>
                      <w:b/>
                      <w:bCs/>
                      <w:color w:val="595959"/>
                      <w:sz w:val="24"/>
                      <w:szCs w:val="24"/>
                    </w:rPr>
                  </w:pPr>
                  <w:r>
                    <w:rPr>
                      <w:rFonts w:eastAsia="Calibri" w:cs="Arial"/>
                      <w:b/>
                      <w:bCs/>
                      <w:color w:val="595959"/>
                      <w:sz w:val="24"/>
                      <w:szCs w:val="24"/>
                    </w:rPr>
                    <w:t>Port</w:t>
                  </w:r>
                </w:p>
              </w:tc>
              <w:tc>
                <w:tcPr>
                  <w:tcW w:w="1058" w:type="dxa"/>
                  <w:shd w:val="clear" w:color="auto" w:fill="FBE4D5"/>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USD</w:t>
                  </w:r>
                </w:p>
                <w:p w:rsidR="00650212" w:rsidRDefault="00650212">
                  <w:pPr>
                    <w:spacing w:after="0"/>
                    <w:rPr>
                      <w:rFonts w:eastAsia="Calibri" w:cs="Arial"/>
                      <w:b/>
                      <w:bCs/>
                      <w:color w:val="595959"/>
                      <w:sz w:val="24"/>
                      <w:szCs w:val="24"/>
                    </w:rPr>
                  </w:pPr>
                  <w:r>
                    <w:rPr>
                      <w:rFonts w:eastAsia="Calibri" w:cs="Arial"/>
                      <w:b/>
                      <w:bCs/>
                      <w:color w:val="595959"/>
                      <w:sz w:val="24"/>
                      <w:szCs w:val="24"/>
                    </w:rPr>
                    <w:t>20’</w:t>
                  </w:r>
                </w:p>
              </w:tc>
              <w:tc>
                <w:tcPr>
                  <w:tcW w:w="1478" w:type="dxa"/>
                  <w:shd w:val="clear" w:color="auto" w:fill="FBE4D5"/>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USD</w:t>
                  </w:r>
                </w:p>
                <w:p w:rsidR="00650212" w:rsidRDefault="00650212">
                  <w:pPr>
                    <w:spacing w:after="0"/>
                    <w:rPr>
                      <w:rFonts w:eastAsia="Calibri" w:cs="Arial"/>
                      <w:b/>
                      <w:bCs/>
                      <w:color w:val="595959"/>
                      <w:sz w:val="24"/>
                      <w:szCs w:val="24"/>
                    </w:rPr>
                  </w:pPr>
                  <w:r>
                    <w:rPr>
                      <w:rFonts w:eastAsia="Calibri" w:cs="Arial"/>
                      <w:b/>
                      <w:bCs/>
                      <w:color w:val="595959"/>
                      <w:sz w:val="24"/>
                      <w:szCs w:val="24"/>
                    </w:rPr>
                    <w:t>40’H.Q</w:t>
                  </w:r>
                </w:p>
              </w:tc>
              <w:tc>
                <w:tcPr>
                  <w:tcW w:w="3431" w:type="dxa"/>
                  <w:shd w:val="clear" w:color="auto" w:fill="FBE4D5"/>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Routing</w:t>
                  </w:r>
                </w:p>
              </w:tc>
              <w:tc>
                <w:tcPr>
                  <w:tcW w:w="1417" w:type="dxa"/>
                  <w:shd w:val="clear" w:color="auto" w:fill="FBE4D5"/>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T. time</w:t>
                  </w:r>
                </w:p>
              </w:tc>
            </w:tr>
            <w:tr w:rsidR="00650212">
              <w:trPr>
                <w:gridAfter w:val="1"/>
                <w:wAfter w:w="1090" w:type="dxa"/>
                <w:trHeight w:val="349"/>
              </w:trPr>
              <w:tc>
                <w:tcPr>
                  <w:tcW w:w="1247" w:type="dxa"/>
                  <w:gridSpan w:val="2"/>
                  <w:shd w:val="clear" w:color="auto" w:fill="auto"/>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Genoa</w:t>
                  </w:r>
                </w:p>
              </w:tc>
              <w:tc>
                <w:tcPr>
                  <w:tcW w:w="105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745</w:t>
                  </w:r>
                </w:p>
              </w:tc>
              <w:tc>
                <w:tcPr>
                  <w:tcW w:w="147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1180</w:t>
                  </w:r>
                </w:p>
              </w:tc>
              <w:tc>
                <w:tcPr>
                  <w:tcW w:w="3431"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Aqaba – Jeddah – Genoa</w:t>
                  </w:r>
                </w:p>
              </w:tc>
              <w:tc>
                <w:tcPr>
                  <w:tcW w:w="1417"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16 days</w:t>
                  </w:r>
                </w:p>
              </w:tc>
            </w:tr>
            <w:tr w:rsidR="00650212">
              <w:trPr>
                <w:gridAfter w:val="1"/>
                <w:wAfter w:w="1090" w:type="dxa"/>
                <w:trHeight w:val="612"/>
              </w:trPr>
              <w:tc>
                <w:tcPr>
                  <w:tcW w:w="1247" w:type="dxa"/>
                  <w:gridSpan w:val="2"/>
                  <w:shd w:val="clear" w:color="auto" w:fill="auto"/>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Algeciras</w:t>
                  </w:r>
                </w:p>
              </w:tc>
              <w:tc>
                <w:tcPr>
                  <w:tcW w:w="105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895</w:t>
                  </w:r>
                </w:p>
              </w:tc>
              <w:tc>
                <w:tcPr>
                  <w:tcW w:w="147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1580</w:t>
                  </w:r>
                </w:p>
              </w:tc>
              <w:tc>
                <w:tcPr>
                  <w:tcW w:w="3431"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 xml:space="preserve">Aqaba – Jeddah – </w:t>
                  </w:r>
                  <w:proofErr w:type="spellStart"/>
                  <w:r>
                    <w:rPr>
                      <w:rFonts w:eastAsia="Calibri" w:cs="Arial"/>
                      <w:color w:val="595959"/>
                      <w:sz w:val="24"/>
                      <w:szCs w:val="24"/>
                    </w:rPr>
                    <w:t>Tanger</w:t>
                  </w:r>
                  <w:proofErr w:type="spellEnd"/>
                  <w:r>
                    <w:rPr>
                      <w:rFonts w:eastAsia="Calibri" w:cs="Arial"/>
                      <w:color w:val="595959"/>
                      <w:sz w:val="24"/>
                      <w:szCs w:val="24"/>
                    </w:rPr>
                    <w:t xml:space="preserve"> Med - Algeciras </w:t>
                  </w:r>
                </w:p>
              </w:tc>
              <w:tc>
                <w:tcPr>
                  <w:tcW w:w="1417"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21 days</w:t>
                  </w:r>
                </w:p>
              </w:tc>
            </w:tr>
            <w:tr w:rsidR="00650212">
              <w:trPr>
                <w:gridAfter w:val="1"/>
                <w:wAfter w:w="1090" w:type="dxa"/>
                <w:trHeight w:val="342"/>
              </w:trPr>
              <w:tc>
                <w:tcPr>
                  <w:tcW w:w="1247" w:type="dxa"/>
                  <w:gridSpan w:val="2"/>
                  <w:shd w:val="clear" w:color="auto" w:fill="auto"/>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Rotterdam</w:t>
                  </w:r>
                </w:p>
              </w:tc>
              <w:tc>
                <w:tcPr>
                  <w:tcW w:w="105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705</w:t>
                  </w:r>
                </w:p>
              </w:tc>
              <w:tc>
                <w:tcPr>
                  <w:tcW w:w="147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1000</w:t>
                  </w:r>
                </w:p>
              </w:tc>
              <w:tc>
                <w:tcPr>
                  <w:tcW w:w="3431"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Aqaba – Jeddah – Rotterdam</w:t>
                  </w:r>
                </w:p>
              </w:tc>
              <w:tc>
                <w:tcPr>
                  <w:tcW w:w="1417"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23 days</w:t>
                  </w:r>
                </w:p>
              </w:tc>
            </w:tr>
            <w:tr w:rsidR="00650212">
              <w:trPr>
                <w:gridAfter w:val="1"/>
                <w:wAfter w:w="1090" w:type="dxa"/>
                <w:trHeight w:val="432"/>
              </w:trPr>
              <w:tc>
                <w:tcPr>
                  <w:tcW w:w="1247" w:type="dxa"/>
                  <w:gridSpan w:val="2"/>
                  <w:shd w:val="clear" w:color="auto" w:fill="auto"/>
                  <w:tcMar>
                    <w:top w:w="0" w:type="dxa"/>
                    <w:left w:w="108" w:type="dxa"/>
                    <w:bottom w:w="0" w:type="dxa"/>
                    <w:right w:w="108" w:type="dxa"/>
                  </w:tcMar>
                  <w:hideMark/>
                </w:tcPr>
                <w:p w:rsidR="00650212" w:rsidRDefault="00650212">
                  <w:pPr>
                    <w:spacing w:after="0"/>
                    <w:rPr>
                      <w:rFonts w:eastAsia="Calibri" w:cs="Arial"/>
                      <w:b/>
                      <w:bCs/>
                      <w:color w:val="595959"/>
                      <w:sz w:val="24"/>
                      <w:szCs w:val="24"/>
                    </w:rPr>
                  </w:pPr>
                  <w:r>
                    <w:rPr>
                      <w:rFonts w:eastAsia="Calibri" w:cs="Arial"/>
                      <w:b/>
                      <w:bCs/>
                      <w:color w:val="595959"/>
                      <w:sz w:val="24"/>
                      <w:szCs w:val="24"/>
                    </w:rPr>
                    <w:t>Hamburg</w:t>
                  </w:r>
                </w:p>
              </w:tc>
              <w:tc>
                <w:tcPr>
                  <w:tcW w:w="105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705</w:t>
                  </w:r>
                </w:p>
              </w:tc>
              <w:tc>
                <w:tcPr>
                  <w:tcW w:w="1478"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1000</w:t>
                  </w:r>
                </w:p>
              </w:tc>
              <w:tc>
                <w:tcPr>
                  <w:tcW w:w="3431"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Aqaba – Jeddah – Hamburg</w:t>
                  </w:r>
                </w:p>
              </w:tc>
              <w:tc>
                <w:tcPr>
                  <w:tcW w:w="1417" w:type="dxa"/>
                  <w:shd w:val="clear" w:color="auto" w:fill="auto"/>
                  <w:tcMar>
                    <w:top w:w="0" w:type="dxa"/>
                    <w:left w:w="108" w:type="dxa"/>
                    <w:bottom w:w="0" w:type="dxa"/>
                    <w:right w:w="108" w:type="dxa"/>
                  </w:tcMar>
                  <w:hideMark/>
                </w:tcPr>
                <w:p w:rsidR="00650212" w:rsidRDefault="00650212">
                  <w:pPr>
                    <w:spacing w:after="0"/>
                    <w:rPr>
                      <w:rFonts w:eastAsia="Calibri" w:cs="Arial"/>
                      <w:color w:val="595959"/>
                      <w:sz w:val="24"/>
                      <w:szCs w:val="24"/>
                    </w:rPr>
                  </w:pPr>
                  <w:r>
                    <w:rPr>
                      <w:rFonts w:eastAsia="Calibri" w:cs="Arial"/>
                      <w:color w:val="595959"/>
                      <w:sz w:val="24"/>
                      <w:szCs w:val="24"/>
                    </w:rPr>
                    <w:t>25 days</w:t>
                  </w:r>
                </w:p>
              </w:tc>
            </w:tr>
          </w:tbl>
          <w:p w:rsidR="00650212" w:rsidRDefault="00650212">
            <w:pPr>
              <w:rPr>
                <w:rFonts w:asciiTheme="minorHAnsi" w:hAnsiTheme="minorHAnsi"/>
                <w:color w:val="595959"/>
                <w:sz w:val="24"/>
                <w:szCs w:val="24"/>
              </w:rPr>
            </w:pPr>
          </w:p>
          <w:tbl>
            <w:tblPr>
              <w:tblW w:w="0" w:type="dxa"/>
              <w:jc w:val="center"/>
              <w:tblLayout w:type="fixed"/>
              <w:tblLook w:val="04A0" w:firstRow="1" w:lastRow="0" w:firstColumn="1" w:lastColumn="0" w:noHBand="0" w:noVBand="1"/>
            </w:tblPr>
            <w:tblGrid>
              <w:gridCol w:w="3600"/>
              <w:gridCol w:w="1400"/>
              <w:gridCol w:w="1200"/>
              <w:gridCol w:w="1520"/>
              <w:gridCol w:w="1540"/>
            </w:tblGrid>
            <w:tr w:rsidR="00650212">
              <w:trPr>
                <w:trHeight w:val="394"/>
                <w:jc w:val="center"/>
              </w:trPr>
              <w:tc>
                <w:tcPr>
                  <w:tcW w:w="3600" w:type="dxa"/>
                  <w:shd w:val="clear" w:color="auto" w:fill="FBE4D5"/>
                  <w:hideMark/>
                </w:tcPr>
                <w:p w:rsidR="00650212" w:rsidRDefault="00650212">
                  <w:pPr>
                    <w:spacing w:after="0"/>
                    <w:jc w:val="center"/>
                    <w:rPr>
                      <w:rFonts w:eastAsia="Calibri" w:cs="Arial"/>
                      <w:b/>
                      <w:bCs/>
                      <w:color w:val="595959"/>
                      <w:sz w:val="24"/>
                      <w:szCs w:val="24"/>
                    </w:rPr>
                  </w:pPr>
                  <w:r>
                    <w:rPr>
                      <w:rFonts w:eastAsia="Calibri" w:cs="Arial"/>
                      <w:b/>
                      <w:bCs/>
                      <w:color w:val="595959"/>
                      <w:sz w:val="24"/>
                      <w:szCs w:val="24"/>
                    </w:rPr>
                    <w:t>Port of discharge</w:t>
                  </w:r>
                </w:p>
              </w:tc>
              <w:tc>
                <w:tcPr>
                  <w:tcW w:w="1400" w:type="dxa"/>
                  <w:shd w:val="clear" w:color="auto" w:fill="FBE4D5"/>
                  <w:hideMark/>
                </w:tcPr>
                <w:p w:rsidR="00650212" w:rsidRDefault="00650212">
                  <w:pPr>
                    <w:spacing w:after="0"/>
                    <w:jc w:val="center"/>
                    <w:rPr>
                      <w:rFonts w:eastAsia="Calibri" w:cs="Arial"/>
                      <w:b/>
                      <w:bCs/>
                      <w:color w:val="595959"/>
                      <w:sz w:val="24"/>
                      <w:szCs w:val="24"/>
                    </w:rPr>
                  </w:pPr>
                  <w:r>
                    <w:rPr>
                      <w:rFonts w:eastAsia="Calibri" w:cs="Arial"/>
                      <w:b/>
                      <w:bCs/>
                      <w:color w:val="595959"/>
                      <w:sz w:val="24"/>
                      <w:szCs w:val="24"/>
                    </w:rPr>
                    <w:t>US$</w:t>
                  </w:r>
                </w:p>
                <w:p w:rsidR="00650212" w:rsidRDefault="00650212">
                  <w:pPr>
                    <w:spacing w:after="0"/>
                    <w:jc w:val="center"/>
                    <w:rPr>
                      <w:rFonts w:eastAsia="Calibri" w:cs="Arial"/>
                      <w:b/>
                      <w:bCs/>
                      <w:color w:val="595959"/>
                      <w:sz w:val="24"/>
                      <w:szCs w:val="24"/>
                    </w:rPr>
                  </w:pPr>
                  <w:r>
                    <w:rPr>
                      <w:rFonts w:eastAsia="Calibri" w:cs="Arial"/>
                      <w:b/>
                      <w:bCs/>
                      <w:color w:val="595959"/>
                      <w:sz w:val="24"/>
                      <w:szCs w:val="24"/>
                    </w:rPr>
                    <w:t>20DV</w:t>
                  </w:r>
                </w:p>
              </w:tc>
              <w:tc>
                <w:tcPr>
                  <w:tcW w:w="1200" w:type="dxa"/>
                  <w:shd w:val="clear" w:color="auto" w:fill="FBE4D5"/>
                  <w:hideMark/>
                </w:tcPr>
                <w:p w:rsidR="00650212" w:rsidRDefault="00650212">
                  <w:pPr>
                    <w:spacing w:after="0"/>
                    <w:jc w:val="center"/>
                    <w:rPr>
                      <w:rFonts w:eastAsia="Calibri" w:cs="Arial"/>
                      <w:b/>
                      <w:bCs/>
                      <w:color w:val="595959"/>
                      <w:sz w:val="24"/>
                      <w:szCs w:val="24"/>
                    </w:rPr>
                  </w:pPr>
                  <w:r>
                    <w:rPr>
                      <w:rFonts w:eastAsia="Calibri" w:cs="Arial"/>
                      <w:b/>
                      <w:bCs/>
                      <w:color w:val="595959"/>
                      <w:sz w:val="24"/>
                      <w:szCs w:val="24"/>
                    </w:rPr>
                    <w:t>US$</w:t>
                  </w:r>
                </w:p>
                <w:p w:rsidR="00650212" w:rsidRDefault="00650212">
                  <w:pPr>
                    <w:spacing w:after="0"/>
                    <w:jc w:val="center"/>
                    <w:rPr>
                      <w:rFonts w:eastAsia="Calibri" w:cs="Arial"/>
                      <w:b/>
                      <w:bCs/>
                      <w:color w:val="595959"/>
                      <w:sz w:val="24"/>
                      <w:szCs w:val="24"/>
                    </w:rPr>
                  </w:pPr>
                  <w:r>
                    <w:rPr>
                      <w:rFonts w:eastAsia="Calibri" w:cs="Arial"/>
                      <w:b/>
                      <w:bCs/>
                      <w:color w:val="595959"/>
                      <w:sz w:val="24"/>
                      <w:szCs w:val="24"/>
                    </w:rPr>
                    <w:t>40HC</w:t>
                  </w:r>
                </w:p>
              </w:tc>
              <w:tc>
                <w:tcPr>
                  <w:tcW w:w="1520" w:type="dxa"/>
                  <w:shd w:val="clear" w:color="auto" w:fill="FBE4D5"/>
                  <w:hideMark/>
                </w:tcPr>
                <w:p w:rsidR="00650212" w:rsidRDefault="00650212">
                  <w:pPr>
                    <w:spacing w:after="0"/>
                    <w:jc w:val="center"/>
                    <w:rPr>
                      <w:rFonts w:eastAsia="Calibri" w:cs="Arial"/>
                      <w:b/>
                      <w:bCs/>
                      <w:color w:val="595959"/>
                      <w:sz w:val="24"/>
                      <w:szCs w:val="24"/>
                    </w:rPr>
                  </w:pPr>
                  <w:r>
                    <w:rPr>
                      <w:rFonts w:eastAsia="Calibri" w:cs="Arial"/>
                      <w:b/>
                      <w:bCs/>
                      <w:color w:val="595959"/>
                      <w:sz w:val="24"/>
                      <w:szCs w:val="24"/>
                    </w:rPr>
                    <w:t>T.T</w:t>
                  </w:r>
                </w:p>
              </w:tc>
              <w:tc>
                <w:tcPr>
                  <w:tcW w:w="1540" w:type="dxa"/>
                  <w:shd w:val="clear" w:color="auto" w:fill="FBE4D5"/>
                  <w:hideMark/>
                </w:tcPr>
                <w:p w:rsidR="00650212" w:rsidRDefault="00650212">
                  <w:pPr>
                    <w:spacing w:after="0"/>
                    <w:jc w:val="center"/>
                    <w:rPr>
                      <w:rFonts w:eastAsia="Calibri" w:cs="Arial"/>
                      <w:b/>
                      <w:bCs/>
                      <w:color w:val="595959"/>
                      <w:sz w:val="24"/>
                      <w:szCs w:val="24"/>
                    </w:rPr>
                  </w:pPr>
                  <w:r>
                    <w:rPr>
                      <w:rFonts w:eastAsia="Calibri" w:cs="Arial"/>
                      <w:b/>
                      <w:bCs/>
                      <w:color w:val="595959"/>
                      <w:sz w:val="24"/>
                      <w:szCs w:val="24"/>
                    </w:rPr>
                    <w:t>S/L</w:t>
                  </w:r>
                </w:p>
              </w:tc>
            </w:tr>
            <w:tr w:rsidR="00650212">
              <w:trPr>
                <w:trHeight w:val="376"/>
                <w:jc w:val="center"/>
              </w:trPr>
              <w:tc>
                <w:tcPr>
                  <w:tcW w:w="3600" w:type="dxa"/>
                  <w:hideMark/>
                </w:tcPr>
                <w:p w:rsidR="00650212" w:rsidRDefault="00650212">
                  <w:pPr>
                    <w:spacing w:after="0"/>
                    <w:rPr>
                      <w:rFonts w:eastAsia="Calibri" w:cs="Arial"/>
                      <w:b/>
                      <w:bCs/>
                      <w:color w:val="595959"/>
                      <w:sz w:val="24"/>
                      <w:szCs w:val="24"/>
                    </w:rPr>
                  </w:pPr>
                  <w:r>
                    <w:rPr>
                      <w:rFonts w:eastAsia="Calibri" w:cs="Arial"/>
                      <w:b/>
                      <w:bCs/>
                      <w:color w:val="595959"/>
                      <w:sz w:val="24"/>
                      <w:szCs w:val="24"/>
                    </w:rPr>
                    <w:t>Genoa - Italy</w:t>
                  </w:r>
                </w:p>
              </w:tc>
              <w:tc>
                <w:tcPr>
                  <w:tcW w:w="1400" w:type="dxa"/>
                  <w:hideMark/>
                </w:tcPr>
                <w:p w:rsidR="00650212" w:rsidRDefault="00650212">
                  <w:pPr>
                    <w:spacing w:after="0"/>
                    <w:rPr>
                      <w:rFonts w:eastAsia="Calibri" w:cs="Arial"/>
                      <w:color w:val="595959"/>
                      <w:sz w:val="24"/>
                      <w:szCs w:val="24"/>
                    </w:rPr>
                  </w:pPr>
                  <w:r>
                    <w:rPr>
                      <w:rFonts w:eastAsia="Calibri" w:cs="Arial"/>
                      <w:color w:val="595959"/>
                      <w:sz w:val="24"/>
                      <w:szCs w:val="24"/>
                    </w:rPr>
                    <w:t>610.0</w:t>
                  </w:r>
                </w:p>
              </w:tc>
              <w:tc>
                <w:tcPr>
                  <w:tcW w:w="1200" w:type="dxa"/>
                  <w:hideMark/>
                </w:tcPr>
                <w:p w:rsidR="00650212" w:rsidRDefault="00650212">
                  <w:pPr>
                    <w:spacing w:after="0"/>
                    <w:rPr>
                      <w:rFonts w:eastAsia="Calibri" w:cs="Arial"/>
                      <w:color w:val="595959"/>
                      <w:sz w:val="24"/>
                      <w:szCs w:val="24"/>
                    </w:rPr>
                  </w:pPr>
                  <w:r>
                    <w:rPr>
                      <w:rFonts w:eastAsia="Calibri" w:cs="Arial"/>
                      <w:color w:val="595959"/>
                      <w:sz w:val="24"/>
                      <w:szCs w:val="24"/>
                    </w:rPr>
                    <w:t>1,425.0</w:t>
                  </w:r>
                </w:p>
              </w:tc>
              <w:tc>
                <w:tcPr>
                  <w:tcW w:w="1520" w:type="dxa"/>
                  <w:hideMark/>
                </w:tcPr>
                <w:p w:rsidR="00650212" w:rsidRDefault="00650212">
                  <w:pPr>
                    <w:spacing w:after="0"/>
                    <w:rPr>
                      <w:rFonts w:eastAsia="Calibri" w:cs="Arial"/>
                      <w:color w:val="595959"/>
                      <w:sz w:val="24"/>
                      <w:szCs w:val="24"/>
                    </w:rPr>
                  </w:pPr>
                  <w:r>
                    <w:rPr>
                      <w:rFonts w:eastAsia="Calibri" w:cs="Arial"/>
                      <w:color w:val="595959"/>
                      <w:sz w:val="24"/>
                      <w:szCs w:val="24"/>
                    </w:rPr>
                    <w:t>23 DAYS</w:t>
                  </w:r>
                </w:p>
              </w:tc>
              <w:tc>
                <w:tcPr>
                  <w:tcW w:w="1540" w:type="dxa"/>
                  <w:hideMark/>
                </w:tcPr>
                <w:p w:rsidR="00650212" w:rsidRDefault="00650212">
                  <w:pPr>
                    <w:spacing w:after="0"/>
                    <w:rPr>
                      <w:rFonts w:eastAsia="Calibri" w:cs="Arial"/>
                      <w:color w:val="595959"/>
                      <w:sz w:val="24"/>
                      <w:szCs w:val="24"/>
                    </w:rPr>
                  </w:pPr>
                  <w:r>
                    <w:rPr>
                      <w:rFonts w:eastAsia="Calibri" w:cs="Arial"/>
                      <w:color w:val="595959"/>
                      <w:sz w:val="24"/>
                      <w:szCs w:val="24"/>
                    </w:rPr>
                    <w:t>MSL</w:t>
                  </w:r>
                </w:p>
              </w:tc>
            </w:tr>
            <w:tr w:rsidR="00650212">
              <w:trPr>
                <w:trHeight w:val="360"/>
                <w:jc w:val="center"/>
              </w:trPr>
              <w:tc>
                <w:tcPr>
                  <w:tcW w:w="3600" w:type="dxa"/>
                  <w:hideMark/>
                </w:tcPr>
                <w:p w:rsidR="00650212" w:rsidRDefault="00650212">
                  <w:pPr>
                    <w:spacing w:after="0"/>
                    <w:rPr>
                      <w:rFonts w:eastAsia="Calibri" w:cs="Arial"/>
                      <w:b/>
                      <w:bCs/>
                      <w:color w:val="595959"/>
                      <w:sz w:val="24"/>
                      <w:szCs w:val="24"/>
                    </w:rPr>
                  </w:pPr>
                  <w:r>
                    <w:rPr>
                      <w:rFonts w:eastAsia="Calibri" w:cs="Arial"/>
                      <w:b/>
                      <w:bCs/>
                      <w:color w:val="595959"/>
                      <w:sz w:val="24"/>
                      <w:szCs w:val="24"/>
                    </w:rPr>
                    <w:lastRenderedPageBreak/>
                    <w:t>Algeciras - Spain</w:t>
                  </w:r>
                </w:p>
              </w:tc>
              <w:tc>
                <w:tcPr>
                  <w:tcW w:w="1400" w:type="dxa"/>
                  <w:hideMark/>
                </w:tcPr>
                <w:p w:rsidR="00650212" w:rsidRDefault="00650212">
                  <w:pPr>
                    <w:spacing w:after="0"/>
                    <w:rPr>
                      <w:rFonts w:eastAsia="Calibri" w:cs="Arial"/>
                      <w:color w:val="595959"/>
                      <w:sz w:val="24"/>
                      <w:szCs w:val="24"/>
                    </w:rPr>
                  </w:pPr>
                  <w:r>
                    <w:rPr>
                      <w:rFonts w:eastAsia="Calibri" w:cs="Arial"/>
                      <w:color w:val="595959"/>
                      <w:sz w:val="24"/>
                      <w:szCs w:val="24"/>
                    </w:rPr>
                    <w:t>1,035.0</w:t>
                  </w:r>
                </w:p>
              </w:tc>
              <w:tc>
                <w:tcPr>
                  <w:tcW w:w="1200" w:type="dxa"/>
                  <w:hideMark/>
                </w:tcPr>
                <w:p w:rsidR="00650212" w:rsidRDefault="00650212">
                  <w:pPr>
                    <w:spacing w:after="0"/>
                    <w:rPr>
                      <w:rFonts w:eastAsia="Calibri" w:cs="Arial"/>
                      <w:color w:val="595959"/>
                      <w:sz w:val="24"/>
                      <w:szCs w:val="24"/>
                    </w:rPr>
                  </w:pPr>
                  <w:r>
                    <w:rPr>
                      <w:rFonts w:eastAsia="Calibri" w:cs="Arial"/>
                      <w:color w:val="595959"/>
                      <w:sz w:val="24"/>
                      <w:szCs w:val="24"/>
                    </w:rPr>
                    <w:t>1,025.0</w:t>
                  </w:r>
                </w:p>
              </w:tc>
              <w:tc>
                <w:tcPr>
                  <w:tcW w:w="1520" w:type="dxa"/>
                  <w:hideMark/>
                </w:tcPr>
                <w:p w:rsidR="00650212" w:rsidRDefault="00650212">
                  <w:pPr>
                    <w:spacing w:after="0"/>
                    <w:rPr>
                      <w:rFonts w:eastAsia="Calibri" w:cs="Arial"/>
                      <w:color w:val="595959"/>
                      <w:sz w:val="24"/>
                      <w:szCs w:val="24"/>
                    </w:rPr>
                  </w:pPr>
                  <w:r>
                    <w:rPr>
                      <w:rFonts w:eastAsia="Calibri" w:cs="Arial"/>
                      <w:color w:val="595959"/>
                      <w:sz w:val="24"/>
                      <w:szCs w:val="24"/>
                    </w:rPr>
                    <w:t>9 DAYS</w:t>
                  </w:r>
                </w:p>
              </w:tc>
              <w:tc>
                <w:tcPr>
                  <w:tcW w:w="1540" w:type="dxa"/>
                  <w:hideMark/>
                </w:tcPr>
                <w:p w:rsidR="00650212" w:rsidRDefault="00650212">
                  <w:pPr>
                    <w:spacing w:after="0"/>
                    <w:rPr>
                      <w:rFonts w:eastAsia="Calibri" w:cs="Arial"/>
                      <w:color w:val="595959"/>
                      <w:sz w:val="24"/>
                      <w:szCs w:val="24"/>
                    </w:rPr>
                  </w:pPr>
                  <w:r>
                    <w:rPr>
                      <w:rFonts w:eastAsia="Calibri" w:cs="Arial"/>
                      <w:color w:val="595959"/>
                      <w:sz w:val="24"/>
                      <w:szCs w:val="24"/>
                    </w:rPr>
                    <w:t>MSL</w:t>
                  </w:r>
                </w:p>
              </w:tc>
            </w:tr>
            <w:tr w:rsidR="00650212">
              <w:trPr>
                <w:trHeight w:val="360"/>
                <w:jc w:val="center"/>
              </w:trPr>
              <w:tc>
                <w:tcPr>
                  <w:tcW w:w="3600" w:type="dxa"/>
                  <w:hideMark/>
                </w:tcPr>
                <w:p w:rsidR="00650212" w:rsidRDefault="00650212">
                  <w:pPr>
                    <w:spacing w:after="0"/>
                    <w:rPr>
                      <w:rFonts w:eastAsia="Calibri" w:cs="Arial"/>
                      <w:b/>
                      <w:bCs/>
                      <w:color w:val="595959"/>
                      <w:sz w:val="24"/>
                      <w:szCs w:val="24"/>
                    </w:rPr>
                  </w:pPr>
                  <w:r>
                    <w:rPr>
                      <w:rFonts w:eastAsia="Calibri" w:cs="Arial"/>
                      <w:b/>
                      <w:bCs/>
                      <w:color w:val="595959"/>
                      <w:sz w:val="24"/>
                      <w:szCs w:val="24"/>
                    </w:rPr>
                    <w:t>Hamburg - Germany</w:t>
                  </w:r>
                </w:p>
              </w:tc>
              <w:tc>
                <w:tcPr>
                  <w:tcW w:w="1400" w:type="dxa"/>
                  <w:hideMark/>
                </w:tcPr>
                <w:p w:rsidR="00650212" w:rsidRDefault="00650212">
                  <w:pPr>
                    <w:spacing w:after="0"/>
                    <w:rPr>
                      <w:rFonts w:eastAsia="Calibri" w:cs="Arial"/>
                      <w:color w:val="595959"/>
                      <w:sz w:val="24"/>
                      <w:szCs w:val="24"/>
                    </w:rPr>
                  </w:pPr>
                  <w:r>
                    <w:rPr>
                      <w:rFonts w:eastAsia="Calibri" w:cs="Arial"/>
                      <w:color w:val="595959"/>
                      <w:sz w:val="24"/>
                      <w:szCs w:val="24"/>
                    </w:rPr>
                    <w:t>960.0</w:t>
                  </w:r>
                </w:p>
              </w:tc>
              <w:tc>
                <w:tcPr>
                  <w:tcW w:w="1200" w:type="dxa"/>
                  <w:hideMark/>
                </w:tcPr>
                <w:p w:rsidR="00650212" w:rsidRDefault="00650212">
                  <w:pPr>
                    <w:spacing w:after="0"/>
                    <w:rPr>
                      <w:rFonts w:eastAsia="Calibri" w:cs="Arial"/>
                      <w:color w:val="595959"/>
                      <w:sz w:val="24"/>
                      <w:szCs w:val="24"/>
                    </w:rPr>
                  </w:pPr>
                  <w:r>
                    <w:rPr>
                      <w:rFonts w:eastAsia="Calibri" w:cs="Arial"/>
                      <w:color w:val="595959"/>
                      <w:sz w:val="24"/>
                      <w:szCs w:val="24"/>
                    </w:rPr>
                    <w:t>1,325.0</w:t>
                  </w:r>
                </w:p>
              </w:tc>
              <w:tc>
                <w:tcPr>
                  <w:tcW w:w="1520" w:type="dxa"/>
                  <w:hideMark/>
                </w:tcPr>
                <w:p w:rsidR="00650212" w:rsidRDefault="00650212">
                  <w:pPr>
                    <w:spacing w:after="0"/>
                    <w:rPr>
                      <w:rFonts w:eastAsia="Calibri" w:cs="Arial"/>
                      <w:color w:val="595959"/>
                      <w:sz w:val="24"/>
                      <w:szCs w:val="24"/>
                    </w:rPr>
                  </w:pPr>
                  <w:r>
                    <w:rPr>
                      <w:rFonts w:eastAsia="Calibri" w:cs="Arial"/>
                      <w:color w:val="595959"/>
                      <w:sz w:val="24"/>
                      <w:szCs w:val="24"/>
                    </w:rPr>
                    <w:t>36 DAYS</w:t>
                  </w:r>
                </w:p>
              </w:tc>
              <w:tc>
                <w:tcPr>
                  <w:tcW w:w="1540" w:type="dxa"/>
                  <w:hideMark/>
                </w:tcPr>
                <w:p w:rsidR="00650212" w:rsidRDefault="00650212">
                  <w:pPr>
                    <w:spacing w:after="0"/>
                    <w:rPr>
                      <w:rFonts w:eastAsia="Calibri" w:cs="Arial"/>
                      <w:color w:val="595959"/>
                      <w:sz w:val="24"/>
                      <w:szCs w:val="24"/>
                    </w:rPr>
                  </w:pPr>
                  <w:r>
                    <w:rPr>
                      <w:rFonts w:eastAsia="Calibri" w:cs="Arial"/>
                      <w:color w:val="595959"/>
                      <w:sz w:val="24"/>
                      <w:szCs w:val="24"/>
                    </w:rPr>
                    <w:t>MSL</w:t>
                  </w:r>
                </w:p>
              </w:tc>
            </w:tr>
            <w:tr w:rsidR="00650212">
              <w:trPr>
                <w:trHeight w:val="360"/>
                <w:jc w:val="center"/>
              </w:trPr>
              <w:tc>
                <w:tcPr>
                  <w:tcW w:w="3600" w:type="dxa"/>
                  <w:hideMark/>
                </w:tcPr>
                <w:p w:rsidR="00650212" w:rsidRDefault="00650212">
                  <w:pPr>
                    <w:spacing w:after="0"/>
                    <w:rPr>
                      <w:rFonts w:eastAsia="Calibri" w:cs="Arial"/>
                      <w:b/>
                      <w:bCs/>
                      <w:color w:val="595959"/>
                      <w:sz w:val="24"/>
                      <w:szCs w:val="24"/>
                    </w:rPr>
                  </w:pPr>
                  <w:r>
                    <w:rPr>
                      <w:rFonts w:eastAsia="Calibri" w:cs="Arial"/>
                      <w:b/>
                      <w:bCs/>
                      <w:color w:val="595959"/>
                      <w:sz w:val="24"/>
                      <w:szCs w:val="24"/>
                    </w:rPr>
                    <w:t>Rotterdam - Netherlands</w:t>
                  </w:r>
                </w:p>
              </w:tc>
              <w:tc>
                <w:tcPr>
                  <w:tcW w:w="1400" w:type="dxa"/>
                  <w:hideMark/>
                </w:tcPr>
                <w:p w:rsidR="00650212" w:rsidRDefault="00650212">
                  <w:pPr>
                    <w:spacing w:after="0"/>
                    <w:rPr>
                      <w:rFonts w:eastAsia="Calibri" w:cs="Arial"/>
                      <w:color w:val="595959"/>
                      <w:sz w:val="24"/>
                      <w:szCs w:val="24"/>
                    </w:rPr>
                  </w:pPr>
                  <w:r>
                    <w:rPr>
                      <w:rFonts w:eastAsia="Calibri" w:cs="Arial"/>
                      <w:color w:val="595959"/>
                      <w:sz w:val="24"/>
                      <w:szCs w:val="24"/>
                    </w:rPr>
                    <w:t>960.0</w:t>
                  </w:r>
                </w:p>
              </w:tc>
              <w:tc>
                <w:tcPr>
                  <w:tcW w:w="1200" w:type="dxa"/>
                  <w:hideMark/>
                </w:tcPr>
                <w:p w:rsidR="00650212" w:rsidRDefault="00650212">
                  <w:pPr>
                    <w:spacing w:after="0"/>
                    <w:rPr>
                      <w:rFonts w:eastAsia="Calibri" w:cs="Arial"/>
                      <w:color w:val="595959"/>
                      <w:sz w:val="24"/>
                      <w:szCs w:val="24"/>
                    </w:rPr>
                  </w:pPr>
                  <w:r>
                    <w:rPr>
                      <w:rFonts w:eastAsia="Calibri" w:cs="Arial"/>
                      <w:color w:val="595959"/>
                      <w:sz w:val="24"/>
                      <w:szCs w:val="24"/>
                    </w:rPr>
                    <w:t>1,325.0</w:t>
                  </w:r>
                </w:p>
              </w:tc>
              <w:tc>
                <w:tcPr>
                  <w:tcW w:w="1520" w:type="dxa"/>
                  <w:hideMark/>
                </w:tcPr>
                <w:p w:rsidR="00650212" w:rsidRDefault="00650212">
                  <w:pPr>
                    <w:spacing w:after="0"/>
                    <w:rPr>
                      <w:rFonts w:eastAsia="Calibri" w:cs="Arial"/>
                      <w:color w:val="595959"/>
                      <w:sz w:val="24"/>
                      <w:szCs w:val="24"/>
                    </w:rPr>
                  </w:pPr>
                  <w:r>
                    <w:rPr>
                      <w:rFonts w:eastAsia="Calibri" w:cs="Arial"/>
                      <w:color w:val="595959"/>
                      <w:sz w:val="24"/>
                      <w:szCs w:val="24"/>
                    </w:rPr>
                    <w:t>21 DAYS</w:t>
                  </w:r>
                </w:p>
              </w:tc>
              <w:tc>
                <w:tcPr>
                  <w:tcW w:w="1540" w:type="dxa"/>
                  <w:hideMark/>
                </w:tcPr>
                <w:p w:rsidR="00650212" w:rsidRDefault="00650212">
                  <w:pPr>
                    <w:spacing w:after="0"/>
                    <w:rPr>
                      <w:rFonts w:eastAsia="Calibri" w:cs="Arial"/>
                      <w:color w:val="595959"/>
                      <w:sz w:val="24"/>
                      <w:szCs w:val="24"/>
                    </w:rPr>
                  </w:pPr>
                  <w:r>
                    <w:rPr>
                      <w:rFonts w:eastAsia="Calibri" w:cs="Arial"/>
                      <w:color w:val="595959"/>
                      <w:sz w:val="24"/>
                      <w:szCs w:val="24"/>
                    </w:rPr>
                    <w:t>MSL</w:t>
                  </w:r>
                </w:p>
              </w:tc>
            </w:tr>
            <w:tr w:rsidR="00650212">
              <w:trPr>
                <w:trHeight w:val="360"/>
                <w:jc w:val="center"/>
              </w:trPr>
              <w:tc>
                <w:tcPr>
                  <w:tcW w:w="9260" w:type="dxa"/>
                  <w:gridSpan w:val="5"/>
                  <w:hideMark/>
                </w:tcPr>
                <w:p w:rsidR="00650212" w:rsidRDefault="00650212">
                  <w:pPr>
                    <w:pStyle w:val="ListParagraph"/>
                    <w:spacing w:before="0" w:after="0" w:line="256" w:lineRule="auto"/>
                    <w:ind w:left="1440"/>
                    <w:jc w:val="right"/>
                    <w:rPr>
                      <w:rFonts w:asciiTheme="minorHAnsi" w:hAnsiTheme="minorHAnsi"/>
                      <w:b/>
                      <w:bCs/>
                      <w:szCs w:val="24"/>
                    </w:rPr>
                  </w:pPr>
                  <w:r>
                    <w:rPr>
                      <w:rFonts w:asciiTheme="minorHAnsi" w:hAnsiTheme="minorHAnsi"/>
                      <w:b/>
                      <w:bCs/>
                      <w:szCs w:val="24"/>
                    </w:rPr>
                    <w:t>Source: JIC, 2019</w:t>
                  </w:r>
                </w:p>
              </w:tc>
            </w:tr>
          </w:tbl>
          <w:p w:rsidR="00650212" w:rsidRDefault="00650212">
            <w:pPr>
              <w:spacing w:line="240" w:lineRule="auto"/>
              <w:jc w:val="both"/>
              <w:rPr>
                <w:rFonts w:asciiTheme="minorHAnsi" w:eastAsia="HGGothicE" w:hAnsiTheme="minorHAnsi" w:cs="Times New Roman"/>
                <w:color w:val="595959" w:themeColor="text1" w:themeTint="A6"/>
                <w:sz w:val="24"/>
                <w:szCs w:val="24"/>
              </w:rPr>
            </w:pPr>
          </w:p>
        </w:tc>
      </w:tr>
    </w:tbl>
    <w:p w:rsidR="00650212" w:rsidRDefault="00650212" w:rsidP="00650212">
      <w:pPr>
        <w:pStyle w:val="ListParagraph"/>
        <w:ind w:left="1440"/>
        <w:jc w:val="both"/>
        <w:rPr>
          <w:rFonts w:asciiTheme="minorHAnsi" w:hAnsiTheme="minorHAnsi"/>
          <w:b/>
          <w:bCs/>
          <w:szCs w:val="24"/>
        </w:rPr>
      </w:pPr>
    </w:p>
    <w:p w:rsidR="00BF0803" w:rsidRDefault="00933AA1">
      <w:bookmarkStart w:id="0" w:name="_GoBack"/>
      <w:bookmarkEnd w:id="0"/>
    </w:p>
    <w:sectPr w:rsidR="00BF0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A1" w:rsidRDefault="00933AA1" w:rsidP="00650212">
      <w:pPr>
        <w:spacing w:after="0" w:line="240" w:lineRule="auto"/>
      </w:pPr>
      <w:r>
        <w:separator/>
      </w:r>
    </w:p>
  </w:endnote>
  <w:endnote w:type="continuationSeparator" w:id="0">
    <w:p w:rsidR="00933AA1" w:rsidRDefault="00933AA1" w:rsidP="0065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GothicE">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A1" w:rsidRDefault="00933AA1" w:rsidP="00650212">
      <w:pPr>
        <w:spacing w:after="0" w:line="240" w:lineRule="auto"/>
      </w:pPr>
      <w:r>
        <w:separator/>
      </w:r>
    </w:p>
  </w:footnote>
  <w:footnote w:type="continuationSeparator" w:id="0">
    <w:p w:rsidR="00933AA1" w:rsidRDefault="00933AA1" w:rsidP="00650212">
      <w:pPr>
        <w:spacing w:after="0" w:line="240" w:lineRule="auto"/>
      </w:pPr>
      <w:r>
        <w:continuationSeparator/>
      </w:r>
    </w:p>
  </w:footnote>
  <w:footnote w:id="1">
    <w:p w:rsidR="00650212" w:rsidRDefault="00650212" w:rsidP="00650212">
      <w:pPr>
        <w:pStyle w:val="FootnoteText"/>
        <w:rPr>
          <w:sz w:val="18"/>
          <w:szCs w:val="18"/>
        </w:rPr>
      </w:pPr>
      <w:r>
        <w:rPr>
          <w:rStyle w:val="FootnoteReference"/>
          <w:sz w:val="18"/>
          <w:szCs w:val="18"/>
        </w:rPr>
        <w:footnoteRef/>
      </w:r>
      <w:r>
        <w:rPr>
          <w:sz w:val="18"/>
          <w:szCs w:val="18"/>
        </w:rPr>
        <w:t xml:space="preserve"> Value Chain Analysis (VCA) Garments, Jordan, Netherlands Enterprise Agency | March 2019 Publication number: RVO-027-1901/CBI-RP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5AD"/>
    <w:multiLevelType w:val="hybridMultilevel"/>
    <w:tmpl w:val="29B432E0"/>
    <w:lvl w:ilvl="0" w:tplc="63588B62">
      <w:start w:val="1"/>
      <w:numFmt w:val="decimal"/>
      <w:lvlText w:val="%1."/>
      <w:lvlJc w:val="left"/>
      <w:pPr>
        <w:ind w:left="1440" w:hanging="360"/>
      </w:pPr>
      <w:rPr>
        <w:rFonts w:ascii="Franklin Gothic Book" w:eastAsia="Franklin Gothic Book" w:hAnsi="Franklin Gothic Book" w:cs="Tahoma"/>
      </w:rPr>
    </w:lvl>
    <w:lvl w:ilvl="1" w:tplc="04090019">
      <w:start w:val="1"/>
      <w:numFmt w:val="lowerLetter"/>
      <w:lvlText w:val="%2."/>
      <w:lvlJc w:val="left"/>
      <w:pPr>
        <w:ind w:left="2160" w:hanging="360"/>
      </w:pPr>
    </w:lvl>
    <w:lvl w:ilvl="2" w:tplc="231AED72">
      <w:start w:val="1"/>
      <w:numFmt w:val="decimal"/>
      <w:lvlText w:val="(%3)"/>
      <w:lvlJc w:val="left"/>
      <w:pPr>
        <w:ind w:left="54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D4"/>
    <w:rsid w:val="000C4ED4"/>
    <w:rsid w:val="00394409"/>
    <w:rsid w:val="00650212"/>
    <w:rsid w:val="007915A4"/>
    <w:rsid w:val="00881E72"/>
    <w:rsid w:val="00933AA1"/>
    <w:rsid w:val="00997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8F01"/>
  <w15:chartTrackingRefBased/>
  <w15:docId w15:val="{B509267A-0276-4760-A364-5DCCF6E8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4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409"/>
    <w:pPr>
      <w:suppressAutoHyphens/>
      <w:autoSpaceDN w:val="0"/>
      <w:spacing w:before="100" w:after="100" w:line="240" w:lineRule="auto"/>
      <w:ind w:left="720" w:right="720"/>
    </w:pPr>
    <w:rPr>
      <w:rFonts w:ascii="Times New Roman" w:eastAsia="HGGothicE" w:hAnsi="Times New Roman" w:cs="Times New Roman"/>
      <w:sz w:val="24"/>
      <w:szCs w:val="24"/>
      <w:lang w:eastAsia="ja-JP"/>
    </w:rPr>
  </w:style>
  <w:style w:type="character" w:customStyle="1" w:styleId="ListParagraphChar">
    <w:name w:val="List Paragraph Char"/>
    <w:aliases w:val="Bullets Char"/>
    <w:link w:val="ListParagraph"/>
    <w:uiPriority w:val="34"/>
    <w:locked/>
    <w:rsid w:val="00394409"/>
    <w:rPr>
      <w:rFonts w:ascii="Franklin Gothic Book" w:eastAsia="Franklin Gothic Book" w:hAnsi="Franklin Gothic Book" w:cs="Tahoma"/>
      <w:color w:val="595959"/>
      <w:kern w:val="3"/>
      <w:sz w:val="24"/>
      <w:szCs w:val="20"/>
      <w:lang w:eastAsia="ja-JP"/>
    </w:rPr>
  </w:style>
  <w:style w:type="paragraph" w:styleId="ListParagraph">
    <w:name w:val="List Paragraph"/>
    <w:aliases w:val="Bullets"/>
    <w:basedOn w:val="Normal"/>
    <w:link w:val="ListParagraphChar"/>
    <w:uiPriority w:val="34"/>
    <w:qFormat/>
    <w:rsid w:val="00394409"/>
    <w:pPr>
      <w:suppressAutoHyphens/>
      <w:autoSpaceDN w:val="0"/>
      <w:spacing w:before="40" w:after="360" w:line="240" w:lineRule="auto"/>
      <w:ind w:left="720" w:right="720"/>
      <w:contextualSpacing/>
    </w:pPr>
    <w:rPr>
      <w:rFonts w:ascii="Franklin Gothic Book" w:eastAsia="Franklin Gothic Book" w:hAnsi="Franklin Gothic Book" w:cs="Tahoma"/>
      <w:color w:val="595959"/>
      <w:kern w:val="3"/>
      <w:sz w:val="24"/>
      <w:szCs w:val="20"/>
      <w:lang w:eastAsia="ja-JP"/>
    </w:rPr>
  </w:style>
  <w:style w:type="table" w:customStyle="1" w:styleId="LightShading-Accent11">
    <w:name w:val="Light Shading - Accent 11"/>
    <w:basedOn w:val="TableNormal"/>
    <w:uiPriority w:val="60"/>
    <w:rsid w:val="00394409"/>
    <w:pPr>
      <w:spacing w:line="256"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semiHidden/>
    <w:unhideWhenUsed/>
    <w:rsid w:val="00650212"/>
    <w:pPr>
      <w:suppressAutoHyphens/>
      <w:autoSpaceDN w:val="0"/>
      <w:spacing w:after="0" w:line="240" w:lineRule="auto"/>
      <w:ind w:left="720" w:right="720"/>
    </w:pPr>
    <w:rPr>
      <w:rFonts w:ascii="Franklin Gothic Book" w:eastAsia="Franklin Gothic Book" w:hAnsi="Franklin Gothic Book" w:cs="Tahoma"/>
      <w:color w:val="595959"/>
      <w:kern w:val="3"/>
      <w:sz w:val="20"/>
      <w:szCs w:val="20"/>
      <w:lang w:eastAsia="ja-JP"/>
    </w:rPr>
  </w:style>
  <w:style w:type="character" w:customStyle="1" w:styleId="FootnoteTextChar">
    <w:name w:val="Footnote Text Char"/>
    <w:basedOn w:val="DefaultParagraphFont"/>
    <w:link w:val="FootnoteText"/>
    <w:semiHidden/>
    <w:rsid w:val="00650212"/>
    <w:rPr>
      <w:rFonts w:ascii="Franklin Gothic Book" w:eastAsia="Franklin Gothic Book" w:hAnsi="Franklin Gothic Book" w:cs="Tahoma"/>
      <w:color w:val="595959"/>
      <w:kern w:val="3"/>
      <w:sz w:val="20"/>
      <w:szCs w:val="20"/>
      <w:lang w:eastAsia="ja-JP"/>
    </w:rPr>
  </w:style>
  <w:style w:type="character" w:styleId="FootnoteReference">
    <w:name w:val="footnote reference"/>
    <w:basedOn w:val="DefaultParagraphFont"/>
    <w:semiHidden/>
    <w:unhideWhenUsed/>
    <w:rsid w:val="0065021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6957">
      <w:bodyDiv w:val="1"/>
      <w:marLeft w:val="0"/>
      <w:marRight w:val="0"/>
      <w:marTop w:val="0"/>
      <w:marBottom w:val="0"/>
      <w:divBdr>
        <w:top w:val="none" w:sz="0" w:space="0" w:color="auto"/>
        <w:left w:val="none" w:sz="0" w:space="0" w:color="auto"/>
        <w:bottom w:val="none" w:sz="0" w:space="0" w:color="auto"/>
        <w:right w:val="none" w:sz="0" w:space="0" w:color="auto"/>
      </w:divBdr>
    </w:div>
    <w:div w:id="1098721515">
      <w:bodyDiv w:val="1"/>
      <w:marLeft w:val="0"/>
      <w:marRight w:val="0"/>
      <w:marTop w:val="0"/>
      <w:marBottom w:val="0"/>
      <w:divBdr>
        <w:top w:val="none" w:sz="0" w:space="0" w:color="auto"/>
        <w:left w:val="none" w:sz="0" w:space="0" w:color="auto"/>
        <w:bottom w:val="none" w:sz="0" w:space="0" w:color="auto"/>
        <w:right w:val="none" w:sz="0" w:space="0" w:color="auto"/>
      </w:divBdr>
    </w:div>
    <w:div w:id="19569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MHD</cp:lastModifiedBy>
  <cp:revision>4</cp:revision>
  <dcterms:created xsi:type="dcterms:W3CDTF">2021-08-03T07:05:00Z</dcterms:created>
  <dcterms:modified xsi:type="dcterms:W3CDTF">2021-08-03T07:10:00Z</dcterms:modified>
</cp:coreProperties>
</file>