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CD7" w:rsidRDefault="00A85CD7" w:rsidP="00A85CD7">
      <w:pPr>
        <w:spacing w:line="276" w:lineRule="auto"/>
        <w:jc w:val="center"/>
        <w:rPr>
          <w:b/>
          <w:bCs/>
          <w:sz w:val="28"/>
          <w:szCs w:val="28"/>
          <w:u w:val="single"/>
        </w:rPr>
      </w:pPr>
      <w:r>
        <w:rPr>
          <w:b/>
          <w:bCs/>
          <w:sz w:val="28"/>
          <w:szCs w:val="28"/>
          <w:u w:val="single"/>
        </w:rPr>
        <w:t xml:space="preserve">Investment Opportunities in the Jordanian Industrial Sector </w:t>
      </w:r>
    </w:p>
    <w:p w:rsidR="00A85CD7" w:rsidRDefault="00A85CD7" w:rsidP="00A85CD7">
      <w:pPr>
        <w:spacing w:line="276" w:lineRule="auto"/>
        <w:jc w:val="lowKashida"/>
        <w:rPr>
          <w:sz w:val="24"/>
          <w:szCs w:val="24"/>
        </w:rPr>
      </w:pPr>
    </w:p>
    <w:p w:rsidR="00A85CD7" w:rsidRDefault="00A85CD7" w:rsidP="00A85CD7">
      <w:pPr>
        <w:spacing w:line="276" w:lineRule="auto"/>
        <w:jc w:val="lowKashida"/>
        <w:rPr>
          <w:sz w:val="24"/>
          <w:szCs w:val="24"/>
        </w:rPr>
      </w:pPr>
      <w:r>
        <w:rPr>
          <w:sz w:val="24"/>
          <w:szCs w:val="24"/>
        </w:rPr>
        <w:t>In the frame of work Jordan Chamber of Industry to attract a new investment that have a potential in European markets. In which Investment pillar is a central pillar in the relaxed rules of origin agreement with the European Union</w:t>
      </w:r>
    </w:p>
    <w:p w:rsidR="00A85CD7" w:rsidRDefault="00A85CD7" w:rsidP="00A85CD7">
      <w:pPr>
        <w:spacing w:line="276" w:lineRule="auto"/>
        <w:jc w:val="lowKashida"/>
        <w:rPr>
          <w:sz w:val="24"/>
          <w:szCs w:val="24"/>
        </w:rPr>
      </w:pPr>
      <w:r>
        <w:rPr>
          <w:sz w:val="24"/>
          <w:szCs w:val="24"/>
        </w:rPr>
        <w:t>So it was necessary to study investment opportunities in Jordan and identify priorities of national investment projects including crate and sustainable job opportunities, and has export opportunities in European markets.</w:t>
      </w:r>
    </w:p>
    <w:p w:rsidR="00A85CD7" w:rsidRDefault="00A85CD7" w:rsidP="00A85CD7">
      <w:pPr>
        <w:spacing w:line="276" w:lineRule="auto"/>
        <w:jc w:val="lowKashida"/>
        <w:rPr>
          <w:sz w:val="24"/>
          <w:szCs w:val="24"/>
        </w:rPr>
      </w:pPr>
      <w:r>
        <w:rPr>
          <w:sz w:val="24"/>
          <w:szCs w:val="24"/>
        </w:rPr>
        <w:t>Based on JCI analysis and studies, top 6 investment projects were Jordan possesses high attractiveness as an investment destination due to natural and comparative advantages specifically in view of future export potential to the European Union, high added value and has the capacity to generate sustainable job opportunities, are:</w:t>
      </w:r>
    </w:p>
    <w:p w:rsidR="006C48B2" w:rsidRPr="006C48B2" w:rsidRDefault="006C48B2" w:rsidP="006C48B2">
      <w:pPr>
        <w:rPr>
          <w:b/>
          <w:bCs/>
          <w:sz w:val="28"/>
          <w:szCs w:val="28"/>
        </w:rPr>
      </w:pPr>
      <w:r w:rsidRPr="006C48B2">
        <w:rPr>
          <w:b/>
          <w:bCs/>
          <w:sz w:val="28"/>
          <w:szCs w:val="28"/>
        </w:rPr>
        <w:t>Tableware, kitchenware and other household products, or products for personal hygiene or toilet, of other ceramic materials, other than porcelain or Chinese:</w:t>
      </w:r>
      <w:bookmarkStart w:id="0" w:name="_GoBack"/>
      <w:bookmarkEnd w:id="0"/>
    </w:p>
    <w:tbl>
      <w:tblPr>
        <w:tblStyle w:val="LightShading-Accent11"/>
        <w:tblpPr w:leftFromText="180" w:rightFromText="180" w:bottomFromText="160" w:vertAnchor="text" w:tblpXSpec="center" w:tblpY="1"/>
        <w:tblOverlap w:val="never"/>
        <w:tblW w:w="8894" w:type="dxa"/>
        <w:tblInd w:w="0" w:type="dxa"/>
        <w:tblLook w:val="04A0" w:firstRow="1" w:lastRow="0" w:firstColumn="1" w:lastColumn="0" w:noHBand="0" w:noVBand="1"/>
      </w:tblPr>
      <w:tblGrid>
        <w:gridCol w:w="2523"/>
        <w:gridCol w:w="2270"/>
        <w:gridCol w:w="4101"/>
      </w:tblGrid>
      <w:tr w:rsidR="006C48B2" w:rsidTr="006C48B2">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8894" w:type="dxa"/>
            <w:gridSpan w:val="3"/>
            <w:hideMark/>
          </w:tcPr>
          <w:p w:rsidR="006C48B2" w:rsidRDefault="006C48B2">
            <w:pPr>
              <w:pStyle w:val="NormalWeb"/>
              <w:spacing w:line="276" w:lineRule="auto"/>
              <w:rPr>
                <w:rFonts w:asciiTheme="minorHAnsi" w:hAnsiTheme="minorHAnsi"/>
                <w:color w:val="595959" w:themeColor="text1" w:themeTint="A6"/>
              </w:rPr>
            </w:pPr>
            <w:r>
              <w:rPr>
                <w:rFonts w:asciiTheme="minorHAnsi" w:hAnsiTheme="minorHAnsi"/>
                <w:color w:val="595959" w:themeColor="text1" w:themeTint="A6"/>
              </w:rPr>
              <w:t>Sector: Construction Industry</w:t>
            </w:r>
          </w:p>
        </w:tc>
      </w:tr>
      <w:tr w:rsidR="006C48B2" w:rsidTr="006C48B2">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4793" w:type="dxa"/>
            <w:gridSpan w:val="2"/>
            <w:tcBorders>
              <w:top w:val="nil"/>
              <w:bottom w:val="nil"/>
            </w:tcBorders>
            <w:hideMark/>
          </w:tcPr>
          <w:p w:rsidR="006C48B2" w:rsidRDefault="006C48B2">
            <w:pPr>
              <w:pStyle w:val="NormalWeb"/>
              <w:spacing w:line="276" w:lineRule="auto"/>
              <w:rPr>
                <w:rFonts w:asciiTheme="minorHAnsi" w:hAnsiTheme="minorHAnsi"/>
                <w:b w:val="0"/>
                <w:bCs w:val="0"/>
                <w:color w:val="595959" w:themeColor="text1" w:themeTint="A6"/>
              </w:rPr>
            </w:pPr>
            <w:r>
              <w:rPr>
                <w:rFonts w:asciiTheme="minorHAnsi" w:hAnsiTheme="minorHAnsi"/>
                <w:b w:val="0"/>
                <w:bCs w:val="0"/>
                <w:color w:val="595959" w:themeColor="text1" w:themeTint="A6"/>
              </w:rPr>
              <w:t>Product: Tableware, kitchenware and other household products, or products for personal hygiene or toilet, of other ceramic materials, other than porcelain or Chinese</w:t>
            </w:r>
          </w:p>
        </w:tc>
        <w:tc>
          <w:tcPr>
            <w:tcW w:w="4101" w:type="dxa"/>
            <w:tcBorders>
              <w:top w:val="nil"/>
              <w:bottom w:val="nil"/>
            </w:tcBorders>
            <w:hideMark/>
          </w:tcPr>
          <w:p w:rsidR="006C48B2" w:rsidRDefault="006C48B2">
            <w:pPr>
              <w:pStyle w:val="NormalWeb"/>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595959" w:themeColor="text1" w:themeTint="A6"/>
              </w:rPr>
            </w:pPr>
            <w:r>
              <w:rPr>
                <w:rFonts w:asciiTheme="minorHAnsi" w:hAnsiTheme="minorHAnsi"/>
                <w:color w:val="595959" w:themeColor="text1" w:themeTint="A6"/>
              </w:rPr>
              <w:t>HS Code: 691110</w:t>
            </w:r>
          </w:p>
        </w:tc>
      </w:tr>
      <w:tr w:rsidR="006C48B2" w:rsidTr="006C48B2">
        <w:trPr>
          <w:trHeight w:val="425"/>
        </w:trPr>
        <w:tc>
          <w:tcPr>
            <w:cnfStyle w:val="001000000000" w:firstRow="0" w:lastRow="0" w:firstColumn="1" w:lastColumn="0" w:oddVBand="0" w:evenVBand="0" w:oddHBand="0" w:evenHBand="0" w:firstRowFirstColumn="0" w:firstRowLastColumn="0" w:lastRowFirstColumn="0" w:lastRowLastColumn="0"/>
            <w:tcW w:w="4793" w:type="dxa"/>
            <w:gridSpan w:val="2"/>
            <w:vMerge w:val="restart"/>
            <w:tcBorders>
              <w:top w:val="nil"/>
              <w:left w:val="nil"/>
              <w:bottom w:val="nil"/>
              <w:right w:val="nil"/>
            </w:tcBorders>
            <w:hideMark/>
          </w:tcPr>
          <w:p w:rsidR="006C48B2" w:rsidRDefault="006C48B2">
            <w:pPr>
              <w:pStyle w:val="NormalWeb"/>
              <w:spacing w:line="276" w:lineRule="auto"/>
              <w:rPr>
                <w:rFonts w:asciiTheme="minorHAnsi" w:hAnsiTheme="minorHAnsi"/>
                <w:b w:val="0"/>
                <w:bCs w:val="0"/>
                <w:color w:val="595959" w:themeColor="text1" w:themeTint="A6"/>
              </w:rPr>
            </w:pPr>
            <w:r>
              <w:rPr>
                <w:rFonts w:asciiTheme="minorHAnsi" w:hAnsiTheme="minorHAnsi"/>
                <w:b w:val="0"/>
                <w:bCs w:val="0"/>
                <w:color w:val="595959" w:themeColor="text1" w:themeTint="A6"/>
              </w:rPr>
              <w:t xml:space="preserve">EU tariff </w:t>
            </w:r>
          </w:p>
        </w:tc>
        <w:tc>
          <w:tcPr>
            <w:tcW w:w="4101" w:type="dxa"/>
            <w:tcBorders>
              <w:top w:val="nil"/>
              <w:left w:val="nil"/>
              <w:bottom w:val="nil"/>
              <w:right w:val="nil"/>
            </w:tcBorders>
            <w:hideMark/>
          </w:tcPr>
          <w:p w:rsidR="006C48B2" w:rsidRDefault="006C48B2">
            <w:pPr>
              <w:pStyle w:val="NormalWeb"/>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95959" w:themeColor="text1" w:themeTint="A6"/>
              </w:rPr>
            </w:pPr>
            <w:r>
              <w:rPr>
                <w:rFonts w:asciiTheme="minorHAnsi" w:hAnsiTheme="minorHAnsi"/>
                <w:color w:val="595959" w:themeColor="text1" w:themeTint="A6"/>
              </w:rPr>
              <w:t>MFN: 12%</w:t>
            </w:r>
          </w:p>
        </w:tc>
      </w:tr>
      <w:tr w:rsidR="006C48B2" w:rsidTr="006C48B2">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0" w:type="auto"/>
            <w:gridSpan w:val="2"/>
            <w:vMerge/>
            <w:tcBorders>
              <w:top w:val="nil"/>
              <w:bottom w:val="nil"/>
            </w:tcBorders>
            <w:vAlign w:val="center"/>
            <w:hideMark/>
          </w:tcPr>
          <w:p w:rsidR="006C48B2" w:rsidRDefault="006C48B2">
            <w:pPr>
              <w:spacing w:after="0"/>
              <w:rPr>
                <w:rFonts w:asciiTheme="minorHAnsi" w:eastAsia="HGGothicE" w:hAnsiTheme="minorHAnsi" w:cs="Times New Roman"/>
                <w:color w:val="595959" w:themeColor="text1" w:themeTint="A6"/>
                <w:sz w:val="24"/>
                <w:szCs w:val="24"/>
                <w:lang w:eastAsia="ja-JP"/>
              </w:rPr>
            </w:pPr>
          </w:p>
        </w:tc>
        <w:tc>
          <w:tcPr>
            <w:tcW w:w="4101" w:type="dxa"/>
            <w:tcBorders>
              <w:top w:val="nil"/>
              <w:bottom w:val="nil"/>
            </w:tcBorders>
            <w:hideMark/>
          </w:tcPr>
          <w:p w:rsidR="006C48B2" w:rsidRDefault="006C48B2">
            <w:pPr>
              <w:pStyle w:val="NormalWeb"/>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595959" w:themeColor="text1" w:themeTint="A6"/>
              </w:rPr>
            </w:pPr>
            <w:r>
              <w:rPr>
                <w:rFonts w:asciiTheme="minorHAnsi" w:hAnsiTheme="minorHAnsi"/>
                <w:color w:val="595959" w:themeColor="text1" w:themeTint="A6"/>
              </w:rPr>
              <w:t>Preferential: 0%</w:t>
            </w:r>
          </w:p>
        </w:tc>
      </w:tr>
      <w:tr w:rsidR="006C48B2" w:rsidTr="006C48B2">
        <w:trPr>
          <w:trHeight w:val="425"/>
        </w:trPr>
        <w:tc>
          <w:tcPr>
            <w:cnfStyle w:val="001000000000" w:firstRow="0" w:lastRow="0" w:firstColumn="1" w:lastColumn="0" w:oddVBand="0" w:evenVBand="0" w:oddHBand="0" w:evenHBand="0" w:firstRowFirstColumn="0" w:firstRowLastColumn="0" w:lastRowFirstColumn="0" w:lastRowLastColumn="0"/>
            <w:tcW w:w="8894" w:type="dxa"/>
            <w:gridSpan w:val="3"/>
            <w:tcBorders>
              <w:top w:val="nil"/>
              <w:left w:val="nil"/>
              <w:bottom w:val="nil"/>
              <w:right w:val="nil"/>
            </w:tcBorders>
            <w:hideMark/>
          </w:tcPr>
          <w:p w:rsidR="006C48B2" w:rsidRDefault="006C48B2">
            <w:pPr>
              <w:pStyle w:val="NormalWeb"/>
              <w:spacing w:line="276" w:lineRule="auto"/>
              <w:rPr>
                <w:rFonts w:asciiTheme="minorHAnsi" w:hAnsiTheme="minorHAnsi"/>
                <w:b w:val="0"/>
                <w:bCs w:val="0"/>
                <w:color w:val="595959" w:themeColor="text1" w:themeTint="A6"/>
              </w:rPr>
            </w:pPr>
            <w:r>
              <w:rPr>
                <w:rFonts w:asciiTheme="minorHAnsi" w:hAnsiTheme="minorHAnsi"/>
                <w:b w:val="0"/>
                <w:bCs w:val="0"/>
                <w:color w:val="595959" w:themeColor="text1" w:themeTint="A6"/>
              </w:rPr>
              <w:t>Description of the manufacturing processes &amp; input of production: ceramic materials</w:t>
            </w:r>
          </w:p>
        </w:tc>
      </w:tr>
      <w:tr w:rsidR="006C48B2" w:rsidTr="006C48B2">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8894" w:type="dxa"/>
            <w:gridSpan w:val="3"/>
            <w:tcBorders>
              <w:top w:val="nil"/>
              <w:bottom w:val="nil"/>
            </w:tcBorders>
            <w:hideMark/>
          </w:tcPr>
          <w:p w:rsidR="006C48B2" w:rsidRDefault="006C48B2">
            <w:pPr>
              <w:pStyle w:val="NormalWeb"/>
              <w:spacing w:line="276" w:lineRule="auto"/>
              <w:rPr>
                <w:rFonts w:asciiTheme="minorHAnsi" w:hAnsiTheme="minorHAnsi"/>
                <w:b w:val="0"/>
                <w:bCs w:val="0"/>
                <w:color w:val="595959" w:themeColor="text1" w:themeTint="A6"/>
              </w:rPr>
            </w:pPr>
            <w:r>
              <w:rPr>
                <w:rFonts w:asciiTheme="minorHAnsi" w:hAnsiTheme="minorHAnsi"/>
                <w:b w:val="0"/>
                <w:bCs w:val="0"/>
                <w:color w:val="595959" w:themeColor="text1" w:themeTint="A6"/>
              </w:rPr>
              <w:t>Germany, Italy, United Kingdom, France, Netherlands</w:t>
            </w:r>
          </w:p>
        </w:tc>
      </w:tr>
      <w:tr w:rsidR="006C48B2" w:rsidTr="006C48B2">
        <w:trPr>
          <w:trHeight w:val="425"/>
        </w:trPr>
        <w:tc>
          <w:tcPr>
            <w:cnfStyle w:val="001000000000" w:firstRow="0" w:lastRow="0" w:firstColumn="1" w:lastColumn="0" w:oddVBand="0" w:evenVBand="0" w:oddHBand="0" w:evenHBand="0" w:firstRowFirstColumn="0" w:firstRowLastColumn="0" w:lastRowFirstColumn="0" w:lastRowLastColumn="0"/>
            <w:tcW w:w="8894" w:type="dxa"/>
            <w:gridSpan w:val="3"/>
            <w:tcBorders>
              <w:top w:val="nil"/>
              <w:left w:val="nil"/>
              <w:bottom w:val="nil"/>
              <w:right w:val="nil"/>
            </w:tcBorders>
            <w:hideMark/>
          </w:tcPr>
          <w:p w:rsidR="006C48B2" w:rsidRDefault="006C48B2">
            <w:pPr>
              <w:pStyle w:val="NormalWeb"/>
              <w:spacing w:line="276" w:lineRule="auto"/>
              <w:rPr>
                <w:rFonts w:asciiTheme="minorHAnsi" w:hAnsiTheme="minorHAnsi"/>
                <w:b w:val="0"/>
                <w:bCs w:val="0"/>
                <w:color w:val="595959" w:themeColor="text1" w:themeTint="A6"/>
              </w:rPr>
            </w:pPr>
            <w:r>
              <w:rPr>
                <w:rFonts w:asciiTheme="minorHAnsi" w:hAnsiTheme="minorHAnsi"/>
                <w:b w:val="0"/>
                <w:bCs w:val="0"/>
                <w:color w:val="595959" w:themeColor="text1" w:themeTint="A6"/>
              </w:rPr>
              <w:t>Top 5 Sources of EU imports of item  (i.e. countries exporting item to the EU): China, Turkey, Thailand, Bangladesh, UAE</w:t>
            </w:r>
          </w:p>
        </w:tc>
      </w:tr>
      <w:tr w:rsidR="006C48B2" w:rsidTr="006C48B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23" w:type="dxa"/>
            <w:vMerge w:val="restart"/>
            <w:tcBorders>
              <w:top w:val="nil"/>
              <w:bottom w:val="nil"/>
            </w:tcBorders>
            <w:hideMark/>
          </w:tcPr>
          <w:p w:rsidR="006C48B2" w:rsidRDefault="006C48B2">
            <w:pPr>
              <w:pStyle w:val="NormalWeb"/>
              <w:spacing w:line="276" w:lineRule="auto"/>
              <w:rPr>
                <w:rFonts w:asciiTheme="minorHAnsi" w:hAnsiTheme="minorHAnsi"/>
                <w:b w:val="0"/>
                <w:bCs w:val="0"/>
                <w:color w:val="595959" w:themeColor="text1" w:themeTint="A6"/>
              </w:rPr>
            </w:pPr>
            <w:r>
              <w:rPr>
                <w:rFonts w:asciiTheme="minorHAnsi" w:hAnsiTheme="minorHAnsi"/>
                <w:b w:val="0"/>
                <w:bCs w:val="0"/>
                <w:color w:val="595959" w:themeColor="text1" w:themeTint="A6"/>
              </w:rPr>
              <w:t xml:space="preserve">Country </w:t>
            </w:r>
          </w:p>
        </w:tc>
        <w:tc>
          <w:tcPr>
            <w:tcW w:w="2270" w:type="dxa"/>
            <w:vMerge w:val="restart"/>
            <w:tcBorders>
              <w:top w:val="nil"/>
              <w:bottom w:val="nil"/>
            </w:tcBorders>
            <w:hideMark/>
          </w:tcPr>
          <w:p w:rsidR="006C48B2" w:rsidRDefault="006C48B2">
            <w:pPr>
              <w:pStyle w:val="NormalWeb"/>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595959" w:themeColor="text1" w:themeTint="A6"/>
              </w:rPr>
            </w:pPr>
            <w:r>
              <w:rPr>
                <w:rFonts w:asciiTheme="minorHAnsi" w:hAnsiTheme="minorHAnsi"/>
                <w:color w:val="595959" w:themeColor="text1" w:themeTint="A6"/>
              </w:rPr>
              <w:t>Tariff ( i.e. is there an FTA with the EU</w:t>
            </w:r>
          </w:p>
        </w:tc>
        <w:tc>
          <w:tcPr>
            <w:tcW w:w="4101" w:type="dxa"/>
            <w:tcBorders>
              <w:top w:val="nil"/>
              <w:bottom w:val="nil"/>
            </w:tcBorders>
            <w:hideMark/>
          </w:tcPr>
          <w:p w:rsidR="006C48B2" w:rsidRDefault="006C48B2">
            <w:pPr>
              <w:pStyle w:val="NormalWeb"/>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595959" w:themeColor="text1" w:themeTint="A6"/>
              </w:rPr>
            </w:pPr>
            <w:r>
              <w:rPr>
                <w:rFonts w:asciiTheme="minorHAnsi" w:hAnsiTheme="minorHAnsi"/>
                <w:color w:val="595959" w:themeColor="text1" w:themeTint="A6"/>
              </w:rPr>
              <w:t>China 12% (none)</w:t>
            </w:r>
          </w:p>
        </w:tc>
      </w:tr>
      <w:tr w:rsidR="006C48B2" w:rsidTr="006C48B2">
        <w:trPr>
          <w:trHeight w:val="454"/>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rsidR="006C48B2" w:rsidRDefault="006C48B2">
            <w:pPr>
              <w:spacing w:after="0"/>
              <w:rPr>
                <w:rFonts w:asciiTheme="minorHAnsi" w:eastAsia="HGGothicE" w:hAnsiTheme="minorHAnsi" w:cs="Times New Roman"/>
                <w:color w:val="595959" w:themeColor="text1" w:themeTint="A6"/>
                <w:sz w:val="24"/>
                <w:szCs w:val="24"/>
                <w:lang w:eastAsia="ja-JP"/>
              </w:rPr>
            </w:pPr>
          </w:p>
        </w:tc>
        <w:tc>
          <w:tcPr>
            <w:tcW w:w="0" w:type="auto"/>
            <w:vMerge/>
            <w:tcBorders>
              <w:top w:val="nil"/>
              <w:left w:val="nil"/>
              <w:bottom w:val="nil"/>
              <w:right w:val="nil"/>
            </w:tcBorders>
            <w:vAlign w:val="center"/>
            <w:hideMark/>
          </w:tcPr>
          <w:p w:rsidR="006C48B2" w:rsidRDefault="006C48B2">
            <w:pPr>
              <w:spacing w:after="0"/>
              <w:cnfStyle w:val="000000000000" w:firstRow="0" w:lastRow="0" w:firstColumn="0" w:lastColumn="0" w:oddVBand="0" w:evenVBand="0" w:oddHBand="0" w:evenHBand="0" w:firstRowFirstColumn="0" w:firstRowLastColumn="0" w:lastRowFirstColumn="0" w:lastRowLastColumn="0"/>
              <w:rPr>
                <w:rFonts w:asciiTheme="minorHAnsi" w:eastAsia="HGGothicE" w:hAnsiTheme="minorHAnsi" w:cs="Times New Roman"/>
                <w:color w:val="595959" w:themeColor="text1" w:themeTint="A6"/>
                <w:sz w:val="24"/>
                <w:szCs w:val="24"/>
                <w:lang w:eastAsia="ja-JP"/>
              </w:rPr>
            </w:pPr>
          </w:p>
        </w:tc>
        <w:tc>
          <w:tcPr>
            <w:tcW w:w="4101" w:type="dxa"/>
            <w:tcBorders>
              <w:top w:val="nil"/>
              <w:left w:val="nil"/>
              <w:bottom w:val="nil"/>
              <w:right w:val="nil"/>
            </w:tcBorders>
            <w:hideMark/>
          </w:tcPr>
          <w:p w:rsidR="006C48B2" w:rsidRDefault="006C48B2">
            <w:pPr>
              <w:pStyle w:val="NormalWeb"/>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95959" w:themeColor="text1" w:themeTint="A6"/>
              </w:rPr>
            </w:pPr>
            <w:r>
              <w:rPr>
                <w:rFonts w:asciiTheme="minorHAnsi" w:hAnsiTheme="minorHAnsi"/>
                <w:color w:val="595959" w:themeColor="text1" w:themeTint="A6"/>
              </w:rPr>
              <w:t>Turkey 0% (CU, EU-Turkey)</w:t>
            </w:r>
          </w:p>
        </w:tc>
      </w:tr>
      <w:tr w:rsidR="006C48B2" w:rsidTr="006C48B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vAlign w:val="center"/>
            <w:hideMark/>
          </w:tcPr>
          <w:p w:rsidR="006C48B2" w:rsidRDefault="006C48B2">
            <w:pPr>
              <w:spacing w:after="0"/>
              <w:rPr>
                <w:rFonts w:asciiTheme="minorHAnsi" w:eastAsia="HGGothicE" w:hAnsiTheme="minorHAnsi" w:cs="Times New Roman"/>
                <w:color w:val="595959" w:themeColor="text1" w:themeTint="A6"/>
                <w:sz w:val="24"/>
                <w:szCs w:val="24"/>
                <w:lang w:eastAsia="ja-JP"/>
              </w:rPr>
            </w:pPr>
          </w:p>
        </w:tc>
        <w:tc>
          <w:tcPr>
            <w:tcW w:w="0" w:type="auto"/>
            <w:vMerge/>
            <w:tcBorders>
              <w:top w:val="nil"/>
              <w:bottom w:val="nil"/>
            </w:tcBorders>
            <w:vAlign w:val="center"/>
            <w:hideMark/>
          </w:tcPr>
          <w:p w:rsidR="006C48B2" w:rsidRDefault="006C48B2">
            <w:pPr>
              <w:spacing w:after="0"/>
              <w:cnfStyle w:val="000000100000" w:firstRow="0" w:lastRow="0" w:firstColumn="0" w:lastColumn="0" w:oddVBand="0" w:evenVBand="0" w:oddHBand="1" w:evenHBand="0" w:firstRowFirstColumn="0" w:firstRowLastColumn="0" w:lastRowFirstColumn="0" w:lastRowLastColumn="0"/>
              <w:rPr>
                <w:rFonts w:asciiTheme="minorHAnsi" w:eastAsia="HGGothicE" w:hAnsiTheme="minorHAnsi" w:cs="Times New Roman"/>
                <w:color w:val="595959" w:themeColor="text1" w:themeTint="A6"/>
                <w:sz w:val="24"/>
                <w:szCs w:val="24"/>
                <w:lang w:eastAsia="ja-JP"/>
              </w:rPr>
            </w:pPr>
          </w:p>
        </w:tc>
        <w:tc>
          <w:tcPr>
            <w:tcW w:w="4101" w:type="dxa"/>
            <w:tcBorders>
              <w:top w:val="nil"/>
              <w:bottom w:val="nil"/>
            </w:tcBorders>
            <w:hideMark/>
          </w:tcPr>
          <w:p w:rsidR="006C48B2" w:rsidRDefault="006C48B2">
            <w:pPr>
              <w:pStyle w:val="NormalWeb"/>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595959" w:themeColor="text1" w:themeTint="A6"/>
              </w:rPr>
            </w:pPr>
            <w:r>
              <w:rPr>
                <w:rFonts w:asciiTheme="minorHAnsi" w:hAnsiTheme="minorHAnsi"/>
                <w:color w:val="595959" w:themeColor="text1" w:themeTint="A6"/>
              </w:rPr>
              <w:t>Thailand 12% (none)</w:t>
            </w:r>
          </w:p>
        </w:tc>
      </w:tr>
      <w:tr w:rsidR="006C48B2" w:rsidTr="006C48B2">
        <w:trPr>
          <w:trHeight w:val="454"/>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rsidR="006C48B2" w:rsidRDefault="006C48B2">
            <w:pPr>
              <w:spacing w:after="0"/>
              <w:rPr>
                <w:rFonts w:asciiTheme="minorHAnsi" w:eastAsia="HGGothicE" w:hAnsiTheme="minorHAnsi" w:cs="Times New Roman"/>
                <w:color w:val="595959" w:themeColor="text1" w:themeTint="A6"/>
                <w:sz w:val="24"/>
                <w:szCs w:val="24"/>
                <w:lang w:eastAsia="ja-JP"/>
              </w:rPr>
            </w:pPr>
          </w:p>
        </w:tc>
        <w:tc>
          <w:tcPr>
            <w:tcW w:w="0" w:type="auto"/>
            <w:vMerge/>
            <w:tcBorders>
              <w:top w:val="nil"/>
              <w:left w:val="nil"/>
              <w:bottom w:val="nil"/>
              <w:right w:val="nil"/>
            </w:tcBorders>
            <w:vAlign w:val="center"/>
            <w:hideMark/>
          </w:tcPr>
          <w:p w:rsidR="006C48B2" w:rsidRDefault="006C48B2">
            <w:pPr>
              <w:spacing w:after="0"/>
              <w:cnfStyle w:val="000000000000" w:firstRow="0" w:lastRow="0" w:firstColumn="0" w:lastColumn="0" w:oddVBand="0" w:evenVBand="0" w:oddHBand="0" w:evenHBand="0" w:firstRowFirstColumn="0" w:firstRowLastColumn="0" w:lastRowFirstColumn="0" w:lastRowLastColumn="0"/>
              <w:rPr>
                <w:rFonts w:asciiTheme="minorHAnsi" w:eastAsia="HGGothicE" w:hAnsiTheme="minorHAnsi" w:cs="Times New Roman"/>
                <w:color w:val="595959" w:themeColor="text1" w:themeTint="A6"/>
                <w:sz w:val="24"/>
                <w:szCs w:val="24"/>
                <w:lang w:eastAsia="ja-JP"/>
              </w:rPr>
            </w:pPr>
          </w:p>
        </w:tc>
        <w:tc>
          <w:tcPr>
            <w:tcW w:w="4101" w:type="dxa"/>
            <w:tcBorders>
              <w:top w:val="nil"/>
              <w:left w:val="nil"/>
              <w:bottom w:val="nil"/>
              <w:right w:val="nil"/>
            </w:tcBorders>
            <w:hideMark/>
          </w:tcPr>
          <w:p w:rsidR="006C48B2" w:rsidRDefault="006C48B2">
            <w:pPr>
              <w:pStyle w:val="NormalWeb"/>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95959" w:themeColor="text1" w:themeTint="A6"/>
              </w:rPr>
            </w:pPr>
            <w:r>
              <w:rPr>
                <w:rFonts w:asciiTheme="minorHAnsi" w:hAnsiTheme="minorHAnsi"/>
                <w:color w:val="595959" w:themeColor="text1" w:themeTint="A6"/>
              </w:rPr>
              <w:t>Bangladesh 0% (EU for LDC Countries)</w:t>
            </w:r>
          </w:p>
        </w:tc>
      </w:tr>
      <w:tr w:rsidR="006C48B2" w:rsidTr="006C48B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vAlign w:val="center"/>
            <w:hideMark/>
          </w:tcPr>
          <w:p w:rsidR="006C48B2" w:rsidRDefault="006C48B2">
            <w:pPr>
              <w:spacing w:after="0"/>
              <w:rPr>
                <w:rFonts w:asciiTheme="minorHAnsi" w:eastAsia="HGGothicE" w:hAnsiTheme="minorHAnsi" w:cs="Times New Roman"/>
                <w:color w:val="595959" w:themeColor="text1" w:themeTint="A6"/>
                <w:sz w:val="24"/>
                <w:szCs w:val="24"/>
                <w:lang w:eastAsia="ja-JP"/>
              </w:rPr>
            </w:pPr>
          </w:p>
        </w:tc>
        <w:tc>
          <w:tcPr>
            <w:tcW w:w="0" w:type="auto"/>
            <w:vMerge/>
            <w:tcBorders>
              <w:top w:val="nil"/>
              <w:bottom w:val="nil"/>
            </w:tcBorders>
            <w:vAlign w:val="center"/>
            <w:hideMark/>
          </w:tcPr>
          <w:p w:rsidR="006C48B2" w:rsidRDefault="006C48B2">
            <w:pPr>
              <w:spacing w:after="0"/>
              <w:cnfStyle w:val="000000100000" w:firstRow="0" w:lastRow="0" w:firstColumn="0" w:lastColumn="0" w:oddVBand="0" w:evenVBand="0" w:oddHBand="1" w:evenHBand="0" w:firstRowFirstColumn="0" w:firstRowLastColumn="0" w:lastRowFirstColumn="0" w:lastRowLastColumn="0"/>
              <w:rPr>
                <w:rFonts w:asciiTheme="minorHAnsi" w:eastAsia="HGGothicE" w:hAnsiTheme="minorHAnsi" w:cs="Times New Roman"/>
                <w:color w:val="595959" w:themeColor="text1" w:themeTint="A6"/>
                <w:sz w:val="24"/>
                <w:szCs w:val="24"/>
                <w:lang w:eastAsia="ja-JP"/>
              </w:rPr>
            </w:pPr>
          </w:p>
        </w:tc>
        <w:tc>
          <w:tcPr>
            <w:tcW w:w="4101" w:type="dxa"/>
            <w:tcBorders>
              <w:top w:val="nil"/>
              <w:bottom w:val="nil"/>
            </w:tcBorders>
            <w:hideMark/>
          </w:tcPr>
          <w:p w:rsidR="006C48B2" w:rsidRDefault="006C48B2">
            <w:pPr>
              <w:pStyle w:val="NormalWeb"/>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595959" w:themeColor="text1" w:themeTint="A6"/>
              </w:rPr>
            </w:pPr>
            <w:r>
              <w:rPr>
                <w:rFonts w:asciiTheme="minorHAnsi" w:hAnsiTheme="minorHAnsi"/>
                <w:color w:val="595959" w:themeColor="text1" w:themeTint="A6"/>
              </w:rPr>
              <w:t>UAE 12% (none)</w:t>
            </w:r>
          </w:p>
        </w:tc>
      </w:tr>
      <w:tr w:rsidR="006C48B2" w:rsidTr="006C48B2">
        <w:trPr>
          <w:trHeight w:val="454"/>
        </w:trPr>
        <w:tc>
          <w:tcPr>
            <w:cnfStyle w:val="001000000000" w:firstRow="0" w:lastRow="0" w:firstColumn="1" w:lastColumn="0" w:oddVBand="0" w:evenVBand="0" w:oddHBand="0" w:evenHBand="0" w:firstRowFirstColumn="0" w:firstRowLastColumn="0" w:lastRowFirstColumn="0" w:lastRowLastColumn="0"/>
            <w:tcW w:w="8894" w:type="dxa"/>
            <w:gridSpan w:val="3"/>
            <w:tcBorders>
              <w:top w:val="nil"/>
              <w:left w:val="nil"/>
              <w:bottom w:val="single" w:sz="4" w:space="0" w:color="auto"/>
              <w:right w:val="nil"/>
            </w:tcBorders>
          </w:tcPr>
          <w:p w:rsidR="006C48B2" w:rsidRDefault="006C48B2">
            <w:pPr>
              <w:pStyle w:val="NormalWeb"/>
              <w:spacing w:line="276" w:lineRule="auto"/>
              <w:rPr>
                <w:rFonts w:asciiTheme="minorHAnsi" w:hAnsiTheme="minorHAnsi"/>
                <w:color w:val="595959" w:themeColor="text1" w:themeTint="A6"/>
              </w:rPr>
            </w:pPr>
            <w:r>
              <w:rPr>
                <w:rFonts w:asciiTheme="minorHAnsi" w:hAnsiTheme="minorHAnsi"/>
                <w:color w:val="595959" w:themeColor="text1" w:themeTint="A6"/>
              </w:rPr>
              <w:t xml:space="preserve">Jordan’s Value Proposition: </w:t>
            </w:r>
          </w:p>
          <w:p w:rsidR="006C48B2" w:rsidRDefault="006C48B2">
            <w:pPr>
              <w:pStyle w:val="NormalWeb"/>
              <w:spacing w:line="276" w:lineRule="auto"/>
              <w:ind w:right="-125"/>
              <w:jc w:val="both"/>
              <w:rPr>
                <w:rFonts w:asciiTheme="minorHAnsi" w:hAnsiTheme="minorHAnsi"/>
                <w:b w:val="0"/>
                <w:bCs w:val="0"/>
                <w:color w:val="595959" w:themeColor="text1" w:themeTint="A6"/>
              </w:rPr>
            </w:pPr>
            <w:r>
              <w:rPr>
                <w:rFonts w:asciiTheme="minorHAnsi" w:hAnsiTheme="minorHAnsi"/>
                <w:b w:val="0"/>
                <w:bCs w:val="0"/>
                <w:color w:val="595959" w:themeColor="text1" w:themeTint="A6"/>
              </w:rPr>
              <w:t xml:space="preserve">Investment can target artisan/handmade and/or high-end items with design and intellectual property value, which together with good marketing and right communication messages to end consumers can bring positive returns. </w:t>
            </w:r>
          </w:p>
          <w:p w:rsidR="006C48B2" w:rsidRDefault="006C48B2">
            <w:pPr>
              <w:pStyle w:val="NormalWeb"/>
              <w:spacing w:line="276" w:lineRule="auto"/>
              <w:ind w:right="-125"/>
              <w:jc w:val="both"/>
              <w:rPr>
                <w:rFonts w:asciiTheme="minorHAnsi" w:hAnsiTheme="minorHAnsi"/>
                <w:b w:val="0"/>
                <w:bCs w:val="0"/>
                <w:color w:val="595959" w:themeColor="text1" w:themeTint="A6"/>
              </w:rPr>
            </w:pPr>
            <w:r>
              <w:rPr>
                <w:rFonts w:asciiTheme="minorHAnsi" w:hAnsiTheme="minorHAnsi"/>
                <w:b w:val="0"/>
                <w:bCs w:val="0"/>
                <w:color w:val="595959" w:themeColor="text1" w:themeTint="A6"/>
              </w:rPr>
              <w:t xml:space="preserve">In addition to a factory-based production. Manufacturing would be ideal in Jordan that will benefit from savings in tariff as well as investment incentives. </w:t>
            </w:r>
          </w:p>
          <w:p w:rsidR="006C48B2" w:rsidRDefault="006C48B2">
            <w:pPr>
              <w:pStyle w:val="NormalWeb"/>
              <w:spacing w:line="276" w:lineRule="auto"/>
              <w:ind w:right="-125"/>
              <w:jc w:val="both"/>
              <w:rPr>
                <w:rFonts w:asciiTheme="minorHAnsi" w:hAnsiTheme="minorHAnsi"/>
                <w:b w:val="0"/>
                <w:bCs w:val="0"/>
                <w:color w:val="595959" w:themeColor="text1" w:themeTint="A6"/>
              </w:rPr>
            </w:pPr>
            <w:r>
              <w:rPr>
                <w:rFonts w:asciiTheme="minorHAnsi" w:hAnsiTheme="minorHAnsi"/>
                <w:b w:val="0"/>
                <w:bCs w:val="0"/>
                <w:color w:val="595959" w:themeColor="text1" w:themeTint="A6"/>
              </w:rPr>
              <w:t xml:space="preserve">The sector has potential to employ a variety of workers with different skills from production line to artisans. Jordan has an abundance of skilled and qualified workers. </w:t>
            </w:r>
          </w:p>
          <w:p w:rsidR="006C48B2" w:rsidRDefault="006C48B2">
            <w:pPr>
              <w:pStyle w:val="NormalWeb"/>
              <w:spacing w:line="276" w:lineRule="auto"/>
              <w:ind w:right="-125"/>
              <w:jc w:val="both"/>
              <w:rPr>
                <w:rFonts w:asciiTheme="minorHAnsi" w:hAnsiTheme="minorHAnsi"/>
                <w:b w:val="0"/>
                <w:bCs w:val="0"/>
                <w:color w:val="595959" w:themeColor="text1" w:themeTint="A6"/>
              </w:rPr>
            </w:pPr>
            <w:r>
              <w:rPr>
                <w:rFonts w:asciiTheme="minorHAnsi" w:hAnsiTheme="minorHAnsi"/>
                <w:b w:val="0"/>
                <w:bCs w:val="0"/>
                <w:color w:val="595959" w:themeColor="text1" w:themeTint="A6"/>
              </w:rPr>
              <w:t xml:space="preserve"> Such manufacturing is also energy intensive and can benefit from a stable and reasonably priced electricity tariff. </w:t>
            </w:r>
          </w:p>
          <w:p w:rsidR="006C48B2" w:rsidRDefault="006C48B2">
            <w:pPr>
              <w:spacing w:after="0" w:line="276" w:lineRule="auto"/>
              <w:rPr>
                <w:rFonts w:asciiTheme="minorHAnsi" w:hAnsiTheme="minorHAnsi"/>
                <w:b w:val="0"/>
                <w:bCs w:val="0"/>
                <w:sz w:val="24"/>
                <w:szCs w:val="24"/>
              </w:rPr>
            </w:pPr>
          </w:p>
          <w:p w:rsidR="006C48B2" w:rsidRDefault="006C48B2">
            <w:pPr>
              <w:spacing w:after="0" w:line="276" w:lineRule="auto"/>
              <w:rPr>
                <w:rFonts w:asciiTheme="minorHAnsi" w:hAnsiTheme="minorHAnsi"/>
                <w:b w:val="0"/>
                <w:bCs w:val="0"/>
                <w:sz w:val="24"/>
                <w:szCs w:val="24"/>
              </w:rPr>
            </w:pPr>
          </w:p>
          <w:p w:rsidR="006C48B2" w:rsidRDefault="006C48B2">
            <w:pPr>
              <w:spacing w:after="0" w:line="276" w:lineRule="auto"/>
              <w:rPr>
                <w:rFonts w:asciiTheme="minorHAnsi" w:hAnsiTheme="minorHAnsi"/>
                <w:b w:val="0"/>
                <w:bCs w:val="0"/>
                <w:sz w:val="24"/>
                <w:szCs w:val="24"/>
              </w:rPr>
            </w:pPr>
          </w:p>
        </w:tc>
      </w:tr>
    </w:tbl>
    <w:p w:rsidR="00A85CD7" w:rsidRDefault="00A85CD7" w:rsidP="00A85CD7">
      <w:pPr>
        <w:spacing w:line="276" w:lineRule="auto"/>
        <w:jc w:val="lowKashida"/>
        <w:rPr>
          <w:sz w:val="24"/>
          <w:szCs w:val="24"/>
        </w:rPr>
      </w:pPr>
    </w:p>
    <w:sectPr w:rsidR="00A85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GothicE">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FE65AD"/>
    <w:multiLevelType w:val="hybridMultilevel"/>
    <w:tmpl w:val="29B432E0"/>
    <w:lvl w:ilvl="0" w:tplc="63588B62">
      <w:start w:val="1"/>
      <w:numFmt w:val="decimal"/>
      <w:lvlText w:val="%1."/>
      <w:lvlJc w:val="left"/>
      <w:pPr>
        <w:ind w:left="1440" w:hanging="360"/>
      </w:pPr>
      <w:rPr>
        <w:rFonts w:ascii="Franklin Gothic Book" w:eastAsia="Franklin Gothic Book" w:hAnsi="Franklin Gothic Book" w:cs="Tahoma"/>
      </w:rPr>
    </w:lvl>
    <w:lvl w:ilvl="1" w:tplc="04090019">
      <w:start w:val="1"/>
      <w:numFmt w:val="lowerLetter"/>
      <w:lvlText w:val="%2."/>
      <w:lvlJc w:val="left"/>
      <w:pPr>
        <w:ind w:left="2160" w:hanging="360"/>
      </w:pPr>
    </w:lvl>
    <w:lvl w:ilvl="2" w:tplc="231AED72">
      <w:start w:val="1"/>
      <w:numFmt w:val="decimal"/>
      <w:lvlText w:val="(%3)"/>
      <w:lvlJc w:val="left"/>
      <w:pPr>
        <w:ind w:left="360" w:hanging="36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005"/>
    <w:rsid w:val="002B4005"/>
    <w:rsid w:val="006C48B2"/>
    <w:rsid w:val="007915A4"/>
    <w:rsid w:val="00881E72"/>
    <w:rsid w:val="00A85C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616D1"/>
  <w15:chartTrackingRefBased/>
  <w15:docId w15:val="{EF7DCD64-6942-441D-B2A3-65D231B3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CD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5CD7"/>
    <w:pPr>
      <w:suppressAutoHyphens/>
      <w:autoSpaceDN w:val="0"/>
      <w:spacing w:before="100" w:after="100" w:line="240" w:lineRule="auto"/>
      <w:ind w:left="720" w:right="720"/>
    </w:pPr>
    <w:rPr>
      <w:rFonts w:ascii="Times New Roman" w:eastAsia="HGGothicE" w:hAnsi="Times New Roman" w:cs="Times New Roman"/>
      <w:sz w:val="24"/>
      <w:szCs w:val="24"/>
      <w:lang w:eastAsia="ja-JP"/>
    </w:rPr>
  </w:style>
  <w:style w:type="character" w:customStyle="1" w:styleId="ListParagraphChar">
    <w:name w:val="List Paragraph Char"/>
    <w:aliases w:val="Bullets Char"/>
    <w:link w:val="ListParagraph"/>
    <w:uiPriority w:val="34"/>
    <w:locked/>
    <w:rsid w:val="00A85CD7"/>
    <w:rPr>
      <w:rFonts w:ascii="Franklin Gothic Book" w:eastAsia="Franklin Gothic Book" w:hAnsi="Franklin Gothic Book" w:cs="Tahoma"/>
      <w:color w:val="595959"/>
      <w:kern w:val="3"/>
      <w:sz w:val="24"/>
      <w:szCs w:val="20"/>
      <w:lang w:eastAsia="ja-JP"/>
    </w:rPr>
  </w:style>
  <w:style w:type="paragraph" w:styleId="ListParagraph">
    <w:name w:val="List Paragraph"/>
    <w:aliases w:val="Bullets"/>
    <w:basedOn w:val="Normal"/>
    <w:link w:val="ListParagraphChar"/>
    <w:uiPriority w:val="34"/>
    <w:qFormat/>
    <w:rsid w:val="00A85CD7"/>
    <w:pPr>
      <w:suppressAutoHyphens/>
      <w:autoSpaceDN w:val="0"/>
      <w:spacing w:before="40" w:after="360" w:line="240" w:lineRule="auto"/>
      <w:ind w:left="720" w:right="720"/>
      <w:contextualSpacing/>
    </w:pPr>
    <w:rPr>
      <w:rFonts w:ascii="Franklin Gothic Book" w:eastAsia="Franklin Gothic Book" w:hAnsi="Franklin Gothic Book" w:cs="Tahoma"/>
      <w:color w:val="595959"/>
      <w:kern w:val="3"/>
      <w:sz w:val="24"/>
      <w:szCs w:val="20"/>
      <w:lang w:eastAsia="ja-JP"/>
    </w:rPr>
  </w:style>
  <w:style w:type="table" w:customStyle="1" w:styleId="LightShading-Accent11">
    <w:name w:val="Light Shading - Accent 11"/>
    <w:basedOn w:val="TableNormal"/>
    <w:uiPriority w:val="60"/>
    <w:rsid w:val="00A85CD7"/>
    <w:pPr>
      <w:spacing w:line="256" w:lineRule="auto"/>
    </w:pPr>
    <w:rPr>
      <w:rFonts w:ascii="Calibri" w:eastAsia="Calibri" w:hAnsi="Calibri" w:cs="Arial"/>
      <w:color w:val="365F91"/>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FootnoteReference">
    <w:name w:val="footnote reference"/>
    <w:basedOn w:val="DefaultParagraphFont"/>
    <w:semiHidden/>
    <w:unhideWhenUsed/>
    <w:rsid w:val="006C48B2"/>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4828">
      <w:bodyDiv w:val="1"/>
      <w:marLeft w:val="0"/>
      <w:marRight w:val="0"/>
      <w:marTop w:val="0"/>
      <w:marBottom w:val="0"/>
      <w:divBdr>
        <w:top w:val="none" w:sz="0" w:space="0" w:color="auto"/>
        <w:left w:val="none" w:sz="0" w:space="0" w:color="auto"/>
        <w:bottom w:val="none" w:sz="0" w:space="0" w:color="auto"/>
        <w:right w:val="none" w:sz="0" w:space="0" w:color="auto"/>
      </w:divBdr>
    </w:div>
    <w:div w:id="705300938">
      <w:bodyDiv w:val="1"/>
      <w:marLeft w:val="0"/>
      <w:marRight w:val="0"/>
      <w:marTop w:val="0"/>
      <w:marBottom w:val="0"/>
      <w:divBdr>
        <w:top w:val="none" w:sz="0" w:space="0" w:color="auto"/>
        <w:left w:val="none" w:sz="0" w:space="0" w:color="auto"/>
        <w:bottom w:val="none" w:sz="0" w:space="0" w:color="auto"/>
        <w:right w:val="none" w:sz="0" w:space="0" w:color="auto"/>
      </w:divBdr>
    </w:div>
    <w:div w:id="1108964675">
      <w:bodyDiv w:val="1"/>
      <w:marLeft w:val="0"/>
      <w:marRight w:val="0"/>
      <w:marTop w:val="0"/>
      <w:marBottom w:val="0"/>
      <w:divBdr>
        <w:top w:val="none" w:sz="0" w:space="0" w:color="auto"/>
        <w:left w:val="none" w:sz="0" w:space="0" w:color="auto"/>
        <w:bottom w:val="none" w:sz="0" w:space="0" w:color="auto"/>
        <w:right w:val="none" w:sz="0" w:space="0" w:color="auto"/>
      </w:divBdr>
    </w:div>
    <w:div w:id="214218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D64DD-A513-4113-8A2E-821BF1608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MHD</dc:creator>
  <cp:keywords/>
  <dc:description/>
  <cp:lastModifiedBy>MHD</cp:lastModifiedBy>
  <cp:revision>3</cp:revision>
  <dcterms:created xsi:type="dcterms:W3CDTF">2021-08-03T07:01:00Z</dcterms:created>
  <dcterms:modified xsi:type="dcterms:W3CDTF">2021-08-03T07:14:00Z</dcterms:modified>
</cp:coreProperties>
</file>